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D73B5" w:rsidRDefault="002714B2">
      <w:pPr>
        <w:spacing w:line="580" w:lineRule="exact"/>
        <w:jc w:val="center"/>
        <w:rPr>
          <w:rFonts w:ascii="方正小标宋简体" w:eastAsia="方正小标宋简体" w:hAnsi="黑体" w:cs="黑体"/>
          <w:sz w:val="44"/>
          <w:szCs w:val="44"/>
        </w:rPr>
      </w:pPr>
      <w:bookmarkStart w:id="0" w:name="_GoBack"/>
      <w:bookmarkEnd w:id="0"/>
      <w:r>
        <w:rPr>
          <w:rFonts w:ascii="方正小标宋简体" w:eastAsia="方正小标宋简体" w:hAnsi="黑体" w:cs="黑体" w:hint="eastAsia"/>
          <w:sz w:val="44"/>
          <w:szCs w:val="44"/>
        </w:rPr>
        <w:t>船舶能耗数据和</w:t>
      </w:r>
      <w:proofErr w:type="gramStart"/>
      <w:r>
        <w:rPr>
          <w:rFonts w:ascii="方正小标宋简体" w:eastAsia="方正小标宋简体" w:hAnsi="黑体" w:cs="黑体" w:hint="eastAsia"/>
          <w:sz w:val="44"/>
          <w:szCs w:val="44"/>
        </w:rPr>
        <w:t>碳强度</w:t>
      </w:r>
      <w:proofErr w:type="gramEnd"/>
      <w:r>
        <w:rPr>
          <w:rFonts w:ascii="方正小标宋简体" w:eastAsia="方正小标宋简体" w:hAnsi="黑体" w:cs="黑体" w:hint="eastAsia"/>
          <w:sz w:val="44"/>
          <w:szCs w:val="44"/>
        </w:rPr>
        <w:t>管理办法</w:t>
      </w:r>
    </w:p>
    <w:p w:rsidR="005D73B5" w:rsidRDefault="002714B2">
      <w:pPr>
        <w:spacing w:line="580" w:lineRule="exact"/>
        <w:jc w:val="center"/>
        <w:rPr>
          <w:rFonts w:ascii="楷体" w:eastAsia="楷体" w:hAnsi="楷体" w:cs="楷体"/>
          <w:szCs w:val="32"/>
        </w:rPr>
      </w:pPr>
      <w:r>
        <w:rPr>
          <w:rFonts w:ascii="楷体" w:eastAsia="楷体" w:hAnsi="楷体" w:cs="楷体" w:hint="eastAsia"/>
          <w:szCs w:val="32"/>
        </w:rPr>
        <w:t>（征求意见稿）</w:t>
      </w:r>
    </w:p>
    <w:p w:rsidR="005D73B5" w:rsidRDefault="005D73B5">
      <w:pPr>
        <w:spacing w:line="580" w:lineRule="exact"/>
        <w:jc w:val="center"/>
        <w:rPr>
          <w:rFonts w:ascii="楷体" w:eastAsia="楷体" w:hAnsi="楷体" w:cs="楷体"/>
          <w:szCs w:val="32"/>
        </w:rPr>
      </w:pPr>
    </w:p>
    <w:p w:rsidR="005D73B5" w:rsidRDefault="002714B2">
      <w:pPr>
        <w:spacing w:line="580" w:lineRule="exact"/>
        <w:jc w:val="center"/>
        <w:rPr>
          <w:rFonts w:ascii="方正小标宋简体" w:eastAsia="方正小标宋简体" w:hAnsi="宋体" w:cs="黑体"/>
          <w:szCs w:val="32"/>
        </w:rPr>
      </w:pPr>
      <w:r>
        <w:rPr>
          <w:rFonts w:ascii="方正小标宋简体" w:eastAsia="方正小标宋简体" w:hAnsi="宋体" w:cs="黑体" w:hint="eastAsia"/>
          <w:szCs w:val="32"/>
        </w:rPr>
        <w:t>第一章 总 则</w:t>
      </w:r>
    </w:p>
    <w:p w:rsidR="005D73B5" w:rsidRDefault="002714B2">
      <w:pPr>
        <w:spacing w:line="580" w:lineRule="exact"/>
        <w:ind w:firstLine="576"/>
        <w:rPr>
          <w:rFonts w:ascii="Times New Roman" w:hAnsi="Times New Roman"/>
          <w:szCs w:val="32"/>
        </w:rPr>
      </w:pPr>
      <w:r>
        <w:rPr>
          <w:rFonts w:ascii="Times New Roman" w:eastAsia="黑体" w:hAnsi="Times New Roman" w:hint="eastAsia"/>
          <w:szCs w:val="32"/>
        </w:rPr>
        <w:t>第一条【依据和目的】</w:t>
      </w:r>
      <w:r>
        <w:rPr>
          <w:rFonts w:ascii="Times New Roman" w:eastAsia="黑体" w:hAnsi="Times New Roman"/>
          <w:szCs w:val="32"/>
        </w:rPr>
        <w:t xml:space="preserve"> </w:t>
      </w:r>
      <w:r>
        <w:rPr>
          <w:rFonts w:ascii="Times New Roman" w:hAnsi="Times New Roman" w:hint="eastAsia"/>
          <w:szCs w:val="32"/>
        </w:rPr>
        <w:t>为深入贯彻落实党中央、国务院</w:t>
      </w:r>
      <w:proofErr w:type="gramStart"/>
      <w:r>
        <w:rPr>
          <w:rFonts w:ascii="Times New Roman" w:hAnsi="Times New Roman" w:hint="eastAsia"/>
          <w:szCs w:val="32"/>
        </w:rPr>
        <w:t>碳达峰碳</w:t>
      </w:r>
      <w:proofErr w:type="gramEnd"/>
      <w:r>
        <w:rPr>
          <w:rFonts w:ascii="Times New Roman" w:hAnsi="Times New Roman" w:hint="eastAsia"/>
          <w:szCs w:val="32"/>
        </w:rPr>
        <w:t>中和决策部署，全面落实交通运输行业</w:t>
      </w:r>
      <w:proofErr w:type="gramStart"/>
      <w:r>
        <w:rPr>
          <w:rFonts w:ascii="Times New Roman" w:hAnsi="Times New Roman" w:hint="eastAsia"/>
          <w:szCs w:val="32"/>
        </w:rPr>
        <w:t>碳达峰碳</w:t>
      </w:r>
      <w:proofErr w:type="gramEnd"/>
      <w:r>
        <w:rPr>
          <w:rFonts w:ascii="Times New Roman" w:hAnsi="Times New Roman" w:hint="eastAsia"/>
          <w:szCs w:val="32"/>
        </w:rPr>
        <w:t>中和工作相关任务要求，</w:t>
      </w:r>
      <w:r>
        <w:rPr>
          <w:rFonts w:ascii="Times New Roman" w:hAnsi="Times New Roman" w:hint="eastAsia"/>
        </w:rPr>
        <w:t>有效实施国际海事组织</w:t>
      </w:r>
      <w:r>
        <w:rPr>
          <w:rFonts w:ascii="Times New Roman" w:hAnsi="Times New Roman" w:hint="eastAsia"/>
          <w:szCs w:val="32"/>
        </w:rPr>
        <w:t>国际航运碳强度规则</w:t>
      </w:r>
      <w:r>
        <w:rPr>
          <w:rFonts w:ascii="Times New Roman" w:hAnsi="Times New Roman" w:hint="eastAsia"/>
        </w:rPr>
        <w:t>的规定</w:t>
      </w:r>
      <w:r>
        <w:rPr>
          <w:rFonts w:ascii="Times New Roman" w:hAnsi="Times New Roman" w:hint="eastAsia"/>
          <w:szCs w:val="32"/>
        </w:rPr>
        <w:t>，减少船舶温室气体排放，根据《中华人民共和国船舶及其有关作业活动污染海洋环境防治管理规定》</w:t>
      </w:r>
      <w:r>
        <w:rPr>
          <w:rFonts w:ascii="Times New Roman" w:hAnsi="Times New Roman" w:hint="eastAsia"/>
        </w:rPr>
        <w:t>和我国缔结的《国际防止船舶造成污染公约》</w:t>
      </w:r>
      <w:r>
        <w:rPr>
          <w:rFonts w:ascii="Times New Roman" w:hAnsi="Times New Roman" w:hint="eastAsia"/>
          <w:szCs w:val="32"/>
        </w:rPr>
        <w:t>，制定本办法。</w:t>
      </w:r>
    </w:p>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第二条【适用范围】</w:t>
      </w:r>
      <w:r>
        <w:rPr>
          <w:rFonts w:ascii="Times New Roman" w:eastAsia="黑体" w:hAnsi="Times New Roman"/>
          <w:szCs w:val="32"/>
        </w:rPr>
        <w:t xml:space="preserve"> </w:t>
      </w:r>
      <w:r>
        <w:rPr>
          <w:rFonts w:ascii="Times New Roman" w:hAnsi="Times New Roman" w:hint="eastAsia"/>
          <w:szCs w:val="32"/>
        </w:rPr>
        <w:t>本</w:t>
      </w:r>
      <w:r>
        <w:rPr>
          <w:rFonts w:ascii="Times New Roman" w:hAnsi="Times New Roman" w:hint="eastAsia"/>
        </w:rPr>
        <w:t>办法适用于</w:t>
      </w:r>
      <w:r>
        <w:rPr>
          <w:rFonts w:ascii="Times New Roman" w:hAnsi="Times New Roman"/>
        </w:rPr>
        <w:t>100</w:t>
      </w:r>
      <w:r>
        <w:rPr>
          <w:rFonts w:ascii="Times New Roman" w:hAnsi="Times New Roman" w:hint="eastAsia"/>
        </w:rPr>
        <w:t>总吨及以上中国籍国内航行船舶，中国籍国际航行船舶及进出我国口岸的外国籍船舶。</w:t>
      </w:r>
    </w:p>
    <w:p w:rsidR="005D73B5" w:rsidRDefault="002714B2">
      <w:pPr>
        <w:spacing w:line="580" w:lineRule="exact"/>
        <w:ind w:firstLine="576"/>
        <w:rPr>
          <w:rFonts w:ascii="Times New Roman" w:hAnsi="Times New Roman"/>
          <w:sz w:val="31"/>
          <w:szCs w:val="31"/>
        </w:rPr>
      </w:pPr>
      <w:r>
        <w:rPr>
          <w:rFonts w:ascii="Times New Roman" w:hAnsi="Times New Roman" w:hint="eastAsia"/>
          <w:sz w:val="31"/>
          <w:szCs w:val="31"/>
        </w:rPr>
        <w:t>军事船舶、渔船</w:t>
      </w:r>
      <w:r>
        <w:rPr>
          <w:rFonts w:ascii="Times New Roman" w:hAnsi="Times New Roman" w:hint="eastAsia"/>
          <w:szCs w:val="32"/>
        </w:rPr>
        <w:t>和体育运动船艇</w:t>
      </w:r>
      <w:r>
        <w:rPr>
          <w:rFonts w:ascii="Times New Roman" w:hAnsi="Times New Roman" w:hint="eastAsia"/>
          <w:sz w:val="31"/>
          <w:szCs w:val="31"/>
        </w:rPr>
        <w:t>不适用本办法。</w:t>
      </w:r>
    </w:p>
    <w:p w:rsidR="005D73B5" w:rsidRDefault="002714B2">
      <w:pPr>
        <w:spacing w:line="580" w:lineRule="exact"/>
        <w:ind w:firstLine="576"/>
        <w:rPr>
          <w:rFonts w:ascii="Times New Roman" w:hAnsi="Times New Roman"/>
          <w:szCs w:val="32"/>
        </w:rPr>
      </w:pPr>
      <w:r>
        <w:rPr>
          <w:rFonts w:ascii="Times New Roman" w:eastAsia="黑体" w:hAnsi="Times New Roman" w:hint="eastAsia"/>
          <w:szCs w:val="32"/>
        </w:rPr>
        <w:t>第三条【职责分工】</w:t>
      </w:r>
      <w:r>
        <w:rPr>
          <w:rFonts w:ascii="Times New Roman" w:eastAsia="黑体" w:hAnsi="Times New Roman"/>
          <w:szCs w:val="32"/>
        </w:rPr>
        <w:t xml:space="preserve"> </w:t>
      </w:r>
      <w:r>
        <w:rPr>
          <w:rFonts w:ascii="Times New Roman" w:hAnsi="Times New Roman" w:hint="eastAsia"/>
          <w:szCs w:val="32"/>
        </w:rPr>
        <w:t>中华人民共和国海事局（以下称中国海事局）统一负责全国船舶能耗数据管理工作，负责中国籍国际航行船舶碳强度管理工作。</w:t>
      </w:r>
    </w:p>
    <w:p w:rsidR="005D73B5" w:rsidRDefault="002714B2">
      <w:pPr>
        <w:spacing w:line="580" w:lineRule="exact"/>
        <w:ind w:firstLine="576"/>
        <w:rPr>
          <w:rFonts w:ascii="Times New Roman" w:hAnsi="Times New Roman"/>
          <w:szCs w:val="32"/>
        </w:rPr>
      </w:pPr>
      <w:r>
        <w:rPr>
          <w:rFonts w:ascii="Times New Roman" w:hAnsi="Times New Roman" w:hint="eastAsia"/>
          <w:szCs w:val="32"/>
        </w:rPr>
        <w:t>直属海事管理机构和具有水上安全监督管理职责的地方管理机构（以下称海事管理机构）按照职责具体负责本辖区船舶能耗数据接收及监督检查工作。</w:t>
      </w:r>
    </w:p>
    <w:p w:rsidR="005D73B5" w:rsidRDefault="002714B2">
      <w:pPr>
        <w:spacing w:line="580" w:lineRule="exact"/>
        <w:ind w:firstLine="576"/>
        <w:rPr>
          <w:rFonts w:ascii="Times New Roman" w:hAnsi="Times New Roman"/>
          <w:szCs w:val="32"/>
        </w:rPr>
      </w:pPr>
      <w:r>
        <w:rPr>
          <w:rFonts w:ascii="Times New Roman" w:hAnsi="Times New Roman" w:hint="eastAsia"/>
          <w:szCs w:val="32"/>
        </w:rPr>
        <w:t>直属海事管理机构具体负责本辖区船舶碳强度监督检查工作。</w:t>
      </w:r>
    </w:p>
    <w:p w:rsidR="005D73B5" w:rsidRDefault="002714B2">
      <w:pPr>
        <w:spacing w:line="580" w:lineRule="exact"/>
        <w:ind w:firstLine="576"/>
        <w:rPr>
          <w:rFonts w:ascii="Times New Roman" w:hAnsi="Times New Roman"/>
          <w:szCs w:val="32"/>
        </w:rPr>
      </w:pPr>
      <w:r>
        <w:rPr>
          <w:rFonts w:ascii="Times New Roman" w:hAnsi="Times New Roman" w:hint="eastAsia"/>
          <w:szCs w:val="32"/>
        </w:rPr>
        <w:t>船舶能效管理中心具体负责全国船舶能耗数据的统计、分析和核查，并具体负责中国籍国际航行船舶碳强度管理实</w:t>
      </w:r>
      <w:r>
        <w:rPr>
          <w:rFonts w:ascii="Times New Roman" w:hAnsi="Times New Roman" w:hint="eastAsia"/>
          <w:szCs w:val="32"/>
        </w:rPr>
        <w:lastRenderedPageBreak/>
        <w:t>施工作。</w:t>
      </w:r>
    </w:p>
    <w:p w:rsidR="005D73B5" w:rsidRDefault="002714B2">
      <w:pPr>
        <w:spacing w:line="580" w:lineRule="exact"/>
        <w:ind w:firstLine="576"/>
        <w:rPr>
          <w:rFonts w:ascii="Times New Roman" w:hAnsi="Times New Roman"/>
          <w:szCs w:val="32"/>
        </w:rPr>
      </w:pPr>
      <w:r>
        <w:rPr>
          <w:rFonts w:ascii="Times New Roman" w:hAnsi="Times New Roman" w:hint="eastAsia"/>
          <w:szCs w:val="32"/>
        </w:rPr>
        <w:t>中国海事局授权的船舶检验机构（以下称船舶检验机构），具体负责中国籍国际航行船舶</w:t>
      </w:r>
      <w:proofErr w:type="gramStart"/>
      <w:r>
        <w:rPr>
          <w:rFonts w:ascii="Times New Roman" w:hAnsi="Times New Roman" w:hint="eastAsia"/>
          <w:szCs w:val="32"/>
        </w:rPr>
        <w:t>能效指数</w:t>
      </w:r>
      <w:proofErr w:type="gramEnd"/>
      <w:r>
        <w:rPr>
          <w:rFonts w:ascii="Times New Roman" w:hAnsi="Times New Roman" w:hint="eastAsia"/>
          <w:szCs w:val="32"/>
        </w:rPr>
        <w:t>数据收集、核验工作。</w:t>
      </w:r>
    </w:p>
    <w:p w:rsidR="005D73B5" w:rsidRDefault="002714B2">
      <w:pPr>
        <w:spacing w:line="580" w:lineRule="exact"/>
        <w:jc w:val="center"/>
        <w:rPr>
          <w:rFonts w:ascii="Times New Roman" w:eastAsia="方正小标宋简体" w:hAnsi="Times New Roman"/>
          <w:szCs w:val="32"/>
        </w:rPr>
      </w:pPr>
      <w:r>
        <w:rPr>
          <w:rFonts w:ascii="Times New Roman" w:eastAsia="方正小标宋简体" w:hAnsi="Times New Roman" w:hint="eastAsia"/>
          <w:szCs w:val="32"/>
        </w:rPr>
        <w:t>第二章</w:t>
      </w:r>
      <w:r>
        <w:rPr>
          <w:rFonts w:ascii="Times New Roman" w:eastAsia="方正小标宋简体" w:hAnsi="Times New Roman"/>
          <w:szCs w:val="32"/>
        </w:rPr>
        <w:t xml:space="preserve"> </w:t>
      </w:r>
      <w:r>
        <w:rPr>
          <w:rFonts w:ascii="Times New Roman" w:eastAsia="方正小标宋简体" w:hAnsi="Times New Roman" w:hint="eastAsia"/>
          <w:szCs w:val="32"/>
        </w:rPr>
        <w:t>数据收集和报告</w:t>
      </w:r>
    </w:p>
    <w:p w:rsidR="005D73B5" w:rsidRDefault="002714B2">
      <w:pPr>
        <w:adjustRightInd w:val="0"/>
        <w:spacing w:line="580" w:lineRule="exact"/>
        <w:ind w:firstLineChars="200" w:firstLine="640"/>
        <w:rPr>
          <w:rFonts w:ascii="Times New Roman" w:hAnsi="Times New Roman"/>
          <w:szCs w:val="32"/>
        </w:rPr>
      </w:pPr>
      <w:r>
        <w:rPr>
          <w:rFonts w:ascii="Times New Roman" w:eastAsia="黑体" w:hAnsi="Times New Roman" w:hint="eastAsia"/>
          <w:szCs w:val="32"/>
        </w:rPr>
        <w:t>第四条【能耗数据收集】</w:t>
      </w:r>
      <w:r>
        <w:rPr>
          <w:rFonts w:ascii="Times New Roman" w:eastAsia="黑体" w:hAnsi="Times New Roman"/>
          <w:szCs w:val="32"/>
        </w:rPr>
        <w:t xml:space="preserve"> </w:t>
      </w:r>
      <w:r>
        <w:rPr>
          <w:rFonts w:ascii="Times New Roman" w:hAnsi="Times New Roman" w:hint="eastAsia"/>
          <w:color w:val="000000"/>
          <w:szCs w:val="32"/>
        </w:rPr>
        <w:t>船舶应当按照本办法以及中国海事局制定的规范性文件与指导性文件，参照《船舶</w:t>
      </w:r>
      <w:bookmarkStart w:id="1" w:name="_Hlk100651086"/>
      <w:r>
        <w:rPr>
          <w:rFonts w:ascii="Times New Roman" w:hAnsi="Times New Roman" w:hint="eastAsia"/>
          <w:color w:val="000000"/>
          <w:szCs w:val="32"/>
        </w:rPr>
        <w:t>能耗数据</w:t>
      </w:r>
      <w:bookmarkEnd w:id="1"/>
      <w:r>
        <w:rPr>
          <w:rFonts w:ascii="Times New Roman" w:hAnsi="Times New Roman" w:hint="eastAsia"/>
          <w:color w:val="000000"/>
          <w:szCs w:val="32"/>
        </w:rPr>
        <w:t>收集与报告技术要求》（</w:t>
      </w:r>
      <w:r>
        <w:rPr>
          <w:rFonts w:ascii="Times New Roman" w:hAnsi="Times New Roman"/>
          <w:color w:val="000000"/>
          <w:szCs w:val="32"/>
        </w:rPr>
        <w:t>JT/T 1340</w:t>
      </w:r>
      <w:r>
        <w:rPr>
          <w:rFonts w:ascii="Times New Roman" w:hAnsi="Times New Roman" w:hint="eastAsia"/>
          <w:color w:val="000000"/>
          <w:szCs w:val="32"/>
        </w:rPr>
        <w:t>）收集船舶能耗数据。</w:t>
      </w:r>
    </w:p>
    <w:p w:rsidR="005D73B5" w:rsidRDefault="002714B2">
      <w:pPr>
        <w:adjustRightInd w:val="0"/>
        <w:spacing w:line="580" w:lineRule="exact"/>
        <w:ind w:firstLineChars="200" w:firstLine="640"/>
        <w:rPr>
          <w:rFonts w:ascii="Times New Roman" w:eastAsia="黑体" w:hAnsi="Times New Roman"/>
          <w:szCs w:val="32"/>
        </w:rPr>
      </w:pPr>
      <w:r>
        <w:rPr>
          <w:rFonts w:ascii="Times New Roman" w:eastAsia="黑体" w:hAnsi="Times New Roman" w:hint="eastAsia"/>
          <w:szCs w:val="32"/>
        </w:rPr>
        <w:t>第五条【能耗数据记录】</w:t>
      </w:r>
      <w:r>
        <w:rPr>
          <w:rFonts w:ascii="Times New Roman" w:eastAsia="黑体" w:hAnsi="Times New Roman"/>
          <w:szCs w:val="32"/>
        </w:rPr>
        <w:t xml:space="preserve"> </w:t>
      </w:r>
      <w:r>
        <w:rPr>
          <w:rFonts w:ascii="Times New Roman" w:hAnsi="Times New Roman" w:hint="eastAsia"/>
          <w:color w:val="000000"/>
          <w:szCs w:val="32"/>
        </w:rPr>
        <w:t>国内沿海航行船舶、内河船舶应当记录每日或者每一航次的船舶能耗数据，可采取电子记录或纸质记录方式，记录格式见附件。</w:t>
      </w:r>
    </w:p>
    <w:p w:rsidR="005D73B5" w:rsidRDefault="002714B2">
      <w:pPr>
        <w:adjustRightInd w:val="0"/>
        <w:spacing w:line="580" w:lineRule="exact"/>
        <w:ind w:firstLineChars="200" w:firstLine="640"/>
        <w:rPr>
          <w:rFonts w:ascii="Times New Roman" w:hAnsi="Times New Roman"/>
          <w:szCs w:val="32"/>
        </w:rPr>
      </w:pPr>
      <w:r>
        <w:rPr>
          <w:rFonts w:ascii="Times New Roman" w:hAnsi="Times New Roman" w:hint="eastAsia"/>
          <w:color w:val="000000"/>
          <w:szCs w:val="32"/>
        </w:rPr>
        <w:t>船舶记录的能耗数据应当在船上保存至少</w:t>
      </w:r>
      <w:r>
        <w:rPr>
          <w:rFonts w:ascii="Times New Roman" w:hAnsi="Times New Roman"/>
          <w:color w:val="000000"/>
          <w:szCs w:val="32"/>
        </w:rPr>
        <w:t>2</w:t>
      </w:r>
      <w:r>
        <w:rPr>
          <w:rFonts w:ascii="Times New Roman" w:hAnsi="Times New Roman" w:hint="eastAsia"/>
          <w:color w:val="000000"/>
          <w:szCs w:val="32"/>
        </w:rPr>
        <w:t>年，以备海事管理机构监督检查。</w:t>
      </w:r>
    </w:p>
    <w:p w:rsidR="005D73B5" w:rsidRDefault="002714B2">
      <w:pPr>
        <w:adjustRightInd w:val="0"/>
        <w:spacing w:line="580" w:lineRule="exact"/>
        <w:ind w:firstLineChars="200" w:firstLine="640"/>
        <w:rPr>
          <w:rFonts w:ascii="Times New Roman" w:hAnsi="Times New Roman"/>
          <w:sz w:val="31"/>
          <w:szCs w:val="31"/>
        </w:rPr>
      </w:pPr>
      <w:r>
        <w:rPr>
          <w:rFonts w:ascii="Times New Roman" w:eastAsia="黑体" w:hAnsi="Times New Roman" w:hint="eastAsia"/>
          <w:szCs w:val="32"/>
        </w:rPr>
        <w:t>第六条【国内航行船舶报告】</w:t>
      </w:r>
      <w:r>
        <w:rPr>
          <w:rFonts w:ascii="Times New Roman" w:eastAsia="黑体" w:hAnsi="Times New Roman"/>
          <w:szCs w:val="32"/>
        </w:rPr>
        <w:t xml:space="preserve"> </w:t>
      </w:r>
      <w:r>
        <w:rPr>
          <w:rFonts w:ascii="Times New Roman" w:hAnsi="Times New Roman" w:hint="eastAsia"/>
          <w:color w:val="000000"/>
          <w:szCs w:val="32"/>
        </w:rPr>
        <w:t>国内沿海航行船舶、内河船舶应当在出港报告时向海事管理机构报告上一航次的船舶能耗数据。</w:t>
      </w:r>
    </w:p>
    <w:p w:rsidR="005D73B5" w:rsidRDefault="002714B2">
      <w:pPr>
        <w:adjustRightInd w:val="0"/>
        <w:spacing w:line="580" w:lineRule="exact"/>
        <w:ind w:firstLineChars="200" w:firstLine="640"/>
        <w:rPr>
          <w:rFonts w:ascii="Times New Roman" w:hAnsi="Times New Roman"/>
          <w:sz w:val="24"/>
        </w:rPr>
      </w:pPr>
      <w:r>
        <w:rPr>
          <w:rFonts w:ascii="Times New Roman" w:hAnsi="Times New Roman" w:hint="eastAsia"/>
          <w:color w:val="000000"/>
          <w:szCs w:val="32"/>
        </w:rPr>
        <w:t>符合以下情形之一的船舶可以采用月度报告：</w:t>
      </w:r>
    </w:p>
    <w:p w:rsidR="005D73B5" w:rsidRDefault="002714B2">
      <w:pPr>
        <w:adjustRightInd w:val="0"/>
        <w:spacing w:line="580" w:lineRule="exact"/>
        <w:ind w:firstLineChars="200" w:firstLine="640"/>
        <w:rPr>
          <w:rFonts w:ascii="Times New Roman" w:hAnsi="Times New Roman"/>
          <w:sz w:val="24"/>
        </w:rPr>
      </w:pPr>
      <w:r>
        <w:rPr>
          <w:rFonts w:ascii="Times New Roman" w:hAnsi="Times New Roman" w:hint="eastAsia"/>
          <w:color w:val="000000"/>
          <w:szCs w:val="32"/>
        </w:rPr>
        <w:t>（一）在固定水域范围内</w:t>
      </w:r>
      <w:proofErr w:type="gramStart"/>
      <w:r>
        <w:rPr>
          <w:rFonts w:ascii="Times New Roman" w:hAnsi="Times New Roman" w:hint="eastAsia"/>
          <w:color w:val="000000"/>
          <w:szCs w:val="32"/>
        </w:rPr>
        <w:t>航行且单航次</w:t>
      </w:r>
      <w:proofErr w:type="gramEnd"/>
      <w:r>
        <w:rPr>
          <w:rFonts w:ascii="Times New Roman" w:hAnsi="Times New Roman" w:hint="eastAsia"/>
          <w:color w:val="000000"/>
          <w:szCs w:val="32"/>
        </w:rPr>
        <w:t>的航行时间不超过</w:t>
      </w:r>
      <w:r>
        <w:rPr>
          <w:rFonts w:ascii="Times New Roman" w:hAnsi="Times New Roman"/>
          <w:color w:val="000000"/>
          <w:szCs w:val="32"/>
        </w:rPr>
        <w:t xml:space="preserve">4 </w:t>
      </w:r>
      <w:r>
        <w:rPr>
          <w:rFonts w:ascii="Times New Roman" w:hAnsi="Times New Roman" w:hint="eastAsia"/>
          <w:color w:val="000000"/>
          <w:szCs w:val="32"/>
        </w:rPr>
        <w:t>小时的船舶；</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hAnsi="Times New Roman" w:hint="eastAsia"/>
          <w:color w:val="000000"/>
          <w:szCs w:val="32"/>
        </w:rPr>
        <w:t>（二）在固定航线</w:t>
      </w:r>
      <w:proofErr w:type="gramStart"/>
      <w:r>
        <w:rPr>
          <w:rFonts w:ascii="Times New Roman" w:hAnsi="Times New Roman" w:hint="eastAsia"/>
          <w:color w:val="000000"/>
          <w:szCs w:val="32"/>
        </w:rPr>
        <w:t>航行且单航次</w:t>
      </w:r>
      <w:proofErr w:type="gramEnd"/>
      <w:r>
        <w:rPr>
          <w:rFonts w:ascii="Times New Roman" w:hAnsi="Times New Roman" w:hint="eastAsia"/>
          <w:color w:val="000000"/>
          <w:szCs w:val="32"/>
        </w:rPr>
        <w:t>的航行时间不超过</w:t>
      </w:r>
      <w:r>
        <w:rPr>
          <w:rFonts w:ascii="Times New Roman" w:hAnsi="Times New Roman"/>
          <w:color w:val="000000"/>
          <w:szCs w:val="32"/>
        </w:rPr>
        <w:t>24</w:t>
      </w:r>
      <w:r>
        <w:rPr>
          <w:rFonts w:ascii="Times New Roman" w:hAnsi="Times New Roman" w:hint="eastAsia"/>
          <w:color w:val="000000"/>
          <w:szCs w:val="32"/>
        </w:rPr>
        <w:t>小时的船舶。</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hAnsi="Times New Roman" w:hint="eastAsia"/>
          <w:color w:val="000000"/>
          <w:szCs w:val="32"/>
        </w:rPr>
        <w:t>（三）航行于内河非水网水域的船舶。</w:t>
      </w:r>
    </w:p>
    <w:p w:rsidR="005D73B5" w:rsidRDefault="002714B2">
      <w:pPr>
        <w:adjustRightInd w:val="0"/>
        <w:spacing w:line="580" w:lineRule="exact"/>
        <w:ind w:firstLineChars="200" w:firstLine="640"/>
        <w:rPr>
          <w:rFonts w:ascii="Times New Roman" w:hAnsi="Times New Roman"/>
          <w:color w:val="000000"/>
          <w:szCs w:val="32"/>
          <w:lang w:val="zh-CN"/>
        </w:rPr>
      </w:pPr>
      <w:r>
        <w:rPr>
          <w:rFonts w:ascii="Times New Roman" w:eastAsia="黑体" w:hAnsi="Times New Roman" w:hint="eastAsia"/>
          <w:szCs w:val="32"/>
        </w:rPr>
        <w:t>第七条【月度报告要求】</w:t>
      </w:r>
      <w:r>
        <w:rPr>
          <w:rFonts w:ascii="Times New Roman" w:hAnsi="Times New Roman"/>
          <w:color w:val="000000"/>
          <w:szCs w:val="32"/>
          <w:lang w:val="zh-CN"/>
        </w:rPr>
        <w:t xml:space="preserve"> </w:t>
      </w:r>
      <w:r>
        <w:rPr>
          <w:rFonts w:ascii="Times New Roman" w:hAnsi="Times New Roman" w:hint="eastAsia"/>
          <w:color w:val="000000"/>
          <w:szCs w:val="32"/>
          <w:lang w:val="zh-CN"/>
        </w:rPr>
        <w:t>拟采用月度报告的船舶应当于每月</w:t>
      </w:r>
      <w:r>
        <w:rPr>
          <w:rFonts w:ascii="Times New Roman" w:hAnsi="Times New Roman"/>
          <w:color w:val="000000"/>
          <w:szCs w:val="32"/>
          <w:lang w:val="zh-CN"/>
        </w:rPr>
        <w:t>10</w:t>
      </w:r>
      <w:r>
        <w:rPr>
          <w:rFonts w:ascii="Times New Roman" w:hAnsi="Times New Roman" w:hint="eastAsia"/>
          <w:color w:val="000000"/>
          <w:szCs w:val="32"/>
          <w:lang w:val="zh-CN"/>
        </w:rPr>
        <w:t>日前向挂靠港口所在地的海事管理机构报告上一自然月的汇总数据。</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eastAsia="黑体" w:hAnsi="Times New Roman" w:hint="eastAsia"/>
          <w:szCs w:val="32"/>
        </w:rPr>
        <w:t>第八条【国际航行船舶报告】</w:t>
      </w:r>
      <w:r>
        <w:rPr>
          <w:rFonts w:ascii="Times New Roman" w:eastAsia="黑体" w:hAnsi="Times New Roman"/>
          <w:szCs w:val="32"/>
        </w:rPr>
        <w:t xml:space="preserve"> </w:t>
      </w:r>
      <w:r>
        <w:rPr>
          <w:rFonts w:ascii="Times New Roman" w:hAnsi="Times New Roman" w:hint="eastAsia"/>
          <w:color w:val="000000"/>
          <w:szCs w:val="32"/>
        </w:rPr>
        <w:t>中国籍国际航行船舶及外国籍船舶应当在境内办理出口岸手续或出港报告时向海事管理机构报告上一航次船舶能耗数据。</w:t>
      </w:r>
    </w:p>
    <w:p w:rsidR="005D73B5" w:rsidRDefault="002714B2">
      <w:pPr>
        <w:adjustRightInd w:val="0"/>
        <w:spacing w:line="580" w:lineRule="exact"/>
        <w:ind w:firstLineChars="200" w:firstLine="640"/>
        <w:rPr>
          <w:rFonts w:ascii="Times New Roman" w:hAnsi="Times New Roman"/>
          <w:szCs w:val="32"/>
        </w:rPr>
      </w:pPr>
      <w:r>
        <w:rPr>
          <w:rFonts w:ascii="Times New Roman" w:hAnsi="Times New Roman" w:hint="eastAsia"/>
          <w:color w:val="000000"/>
          <w:szCs w:val="32"/>
        </w:rPr>
        <w:t>中国籍国际航行船舶应当在境外任</w:t>
      </w:r>
      <w:proofErr w:type="gramStart"/>
      <w:r>
        <w:rPr>
          <w:rFonts w:ascii="Times New Roman" w:hAnsi="Times New Roman" w:hint="eastAsia"/>
          <w:color w:val="000000"/>
          <w:szCs w:val="32"/>
        </w:rPr>
        <w:t>一</w:t>
      </w:r>
      <w:proofErr w:type="gramEnd"/>
      <w:r>
        <w:rPr>
          <w:rFonts w:ascii="Times New Roman" w:hAnsi="Times New Roman" w:hint="eastAsia"/>
          <w:color w:val="000000"/>
          <w:szCs w:val="32"/>
        </w:rPr>
        <w:t>港口离港</w:t>
      </w:r>
      <w:r>
        <w:rPr>
          <w:rFonts w:ascii="Times New Roman" w:hAnsi="Times New Roman" w:hint="eastAsia"/>
          <w:szCs w:val="32"/>
        </w:rPr>
        <w:t>前向船舶能效管理中心报告上一航次船舶能耗数据。</w:t>
      </w:r>
    </w:p>
    <w:p w:rsidR="005D73B5" w:rsidRDefault="002714B2">
      <w:pPr>
        <w:adjustRightInd w:val="0"/>
        <w:spacing w:line="580" w:lineRule="exact"/>
        <w:ind w:firstLineChars="200" w:firstLine="640"/>
        <w:rPr>
          <w:rFonts w:ascii="Times New Roman" w:hAnsi="Times New Roman"/>
          <w:sz w:val="31"/>
          <w:szCs w:val="31"/>
        </w:rPr>
      </w:pPr>
      <w:r>
        <w:rPr>
          <w:rFonts w:ascii="Times New Roman" w:eastAsia="黑体" w:hAnsi="Times New Roman" w:hint="eastAsia"/>
          <w:szCs w:val="32"/>
        </w:rPr>
        <w:t>第九条【报告方式】</w:t>
      </w:r>
      <w:r>
        <w:rPr>
          <w:rFonts w:ascii="Times New Roman" w:eastAsia="黑体" w:hAnsi="Times New Roman"/>
          <w:szCs w:val="32"/>
        </w:rPr>
        <w:t xml:space="preserve"> </w:t>
      </w:r>
      <w:r>
        <w:rPr>
          <w:rFonts w:ascii="Times New Roman" w:hAnsi="Times New Roman" w:hint="eastAsia"/>
          <w:color w:val="000000"/>
          <w:szCs w:val="32"/>
        </w:rPr>
        <w:t>船舶应当通过</w:t>
      </w:r>
      <w:r>
        <w:rPr>
          <w:rFonts w:ascii="Times New Roman" w:hAnsi="Times New Roman" w:hint="eastAsia"/>
          <w:color w:val="000000"/>
          <w:szCs w:val="32"/>
          <w:lang w:val="zh-CN"/>
        </w:rPr>
        <w:t>中国海事局确定的</w:t>
      </w:r>
      <w:r>
        <w:rPr>
          <w:rFonts w:ascii="Times New Roman" w:hAnsi="Times New Roman" w:hint="eastAsia"/>
          <w:color w:val="000000"/>
          <w:szCs w:val="32"/>
        </w:rPr>
        <w:t>相关</w:t>
      </w:r>
      <w:r>
        <w:rPr>
          <w:rFonts w:ascii="Times New Roman" w:hAnsi="Times New Roman" w:hint="eastAsia"/>
          <w:color w:val="000000"/>
          <w:szCs w:val="32"/>
          <w:lang w:val="zh-CN"/>
        </w:rPr>
        <w:t>海事信息平台</w:t>
      </w:r>
      <w:r>
        <w:rPr>
          <w:rFonts w:ascii="Times New Roman" w:hAnsi="Times New Roman" w:hint="eastAsia"/>
          <w:color w:val="000000"/>
          <w:szCs w:val="32"/>
        </w:rPr>
        <w:t>或系统</w:t>
      </w:r>
      <w:r>
        <w:rPr>
          <w:rFonts w:ascii="Times New Roman" w:hAnsi="Times New Roman"/>
          <w:color w:val="000000"/>
          <w:szCs w:val="32"/>
          <w:lang w:val="zh-CN"/>
        </w:rPr>
        <w:t>(</w:t>
      </w:r>
      <w:r>
        <w:rPr>
          <w:rFonts w:ascii="Times New Roman" w:hAnsi="Times New Roman" w:hint="eastAsia"/>
          <w:color w:val="000000"/>
          <w:szCs w:val="32"/>
          <w:lang w:val="zh-CN"/>
        </w:rPr>
        <w:t>以下</w:t>
      </w:r>
      <w:proofErr w:type="gramStart"/>
      <w:r>
        <w:rPr>
          <w:rFonts w:ascii="Times New Roman" w:hAnsi="Times New Roman" w:hint="eastAsia"/>
          <w:color w:val="000000"/>
          <w:szCs w:val="32"/>
          <w:lang w:val="zh-CN"/>
        </w:rPr>
        <w:t>称信息</w:t>
      </w:r>
      <w:proofErr w:type="gramEnd"/>
      <w:r>
        <w:rPr>
          <w:rFonts w:ascii="Times New Roman" w:hAnsi="Times New Roman" w:hint="eastAsia"/>
          <w:color w:val="000000"/>
          <w:szCs w:val="32"/>
          <w:lang w:val="zh-CN"/>
        </w:rPr>
        <w:t>平台</w:t>
      </w:r>
      <w:r>
        <w:rPr>
          <w:rFonts w:ascii="Times New Roman" w:hAnsi="Times New Roman"/>
          <w:color w:val="000000"/>
          <w:szCs w:val="32"/>
          <w:lang w:val="zh-CN"/>
        </w:rPr>
        <w:t>)</w:t>
      </w:r>
      <w:r>
        <w:rPr>
          <w:rFonts w:ascii="Times New Roman" w:hAnsi="Times New Roman" w:hint="eastAsia"/>
          <w:color w:val="000000"/>
          <w:szCs w:val="32"/>
        </w:rPr>
        <w:t>报告本办法要求的船舶能耗数据。</w:t>
      </w:r>
      <w:r>
        <w:rPr>
          <w:rFonts w:ascii="Times New Roman" w:hAnsi="Times New Roman" w:hint="eastAsia"/>
          <w:color w:val="000000"/>
          <w:szCs w:val="32"/>
          <w:lang w:val="zh-CN"/>
        </w:rPr>
        <w:t>因</w:t>
      </w:r>
      <w:r>
        <w:rPr>
          <w:rFonts w:ascii="Times New Roman" w:hAnsi="Times New Roman" w:hint="eastAsia"/>
          <w:color w:val="000000"/>
          <w:szCs w:val="32"/>
        </w:rPr>
        <w:t>信息平台</w:t>
      </w:r>
      <w:r>
        <w:rPr>
          <w:rFonts w:ascii="Times New Roman" w:hAnsi="Times New Roman" w:hint="eastAsia"/>
          <w:color w:val="000000"/>
          <w:szCs w:val="32"/>
          <w:lang w:val="zh-CN"/>
        </w:rPr>
        <w:t>系统故障无法报告</w:t>
      </w:r>
      <w:r>
        <w:rPr>
          <w:rFonts w:ascii="Times New Roman" w:hAnsi="Times New Roman" w:hint="eastAsia"/>
          <w:color w:val="000000"/>
          <w:szCs w:val="32"/>
        </w:rPr>
        <w:t>时</w:t>
      </w:r>
      <w:r>
        <w:rPr>
          <w:rFonts w:ascii="Times New Roman" w:hAnsi="Times New Roman" w:hint="eastAsia"/>
          <w:color w:val="000000"/>
          <w:szCs w:val="32"/>
          <w:lang w:val="zh-CN"/>
        </w:rPr>
        <w:t>，船舶</w:t>
      </w:r>
      <w:r>
        <w:rPr>
          <w:rFonts w:ascii="Times New Roman" w:hAnsi="Times New Roman" w:hint="eastAsia"/>
          <w:color w:val="000000"/>
          <w:szCs w:val="32"/>
        </w:rPr>
        <w:t>应当在系统恢复后</w:t>
      </w:r>
      <w:r>
        <w:rPr>
          <w:rFonts w:ascii="Times New Roman" w:hAnsi="Times New Roman"/>
          <w:color w:val="000000"/>
          <w:szCs w:val="32"/>
        </w:rPr>
        <w:t>5</w:t>
      </w:r>
      <w:r>
        <w:rPr>
          <w:rFonts w:ascii="Times New Roman" w:hAnsi="Times New Roman" w:hint="eastAsia"/>
          <w:color w:val="000000"/>
          <w:szCs w:val="32"/>
        </w:rPr>
        <w:t>个工作日内</w:t>
      </w:r>
      <w:r>
        <w:rPr>
          <w:rFonts w:ascii="Times New Roman" w:hAnsi="Times New Roman" w:hint="eastAsia"/>
          <w:color w:val="000000"/>
          <w:szCs w:val="32"/>
          <w:lang w:val="zh-CN"/>
        </w:rPr>
        <w:t>完成船舶</w:t>
      </w:r>
      <w:r>
        <w:rPr>
          <w:rFonts w:ascii="Times New Roman" w:hAnsi="Times New Roman" w:hint="eastAsia"/>
          <w:color w:val="000000"/>
          <w:szCs w:val="32"/>
        </w:rPr>
        <w:t>能耗数据补报</w:t>
      </w:r>
      <w:r>
        <w:rPr>
          <w:rFonts w:ascii="Times New Roman" w:hAnsi="Times New Roman" w:hint="eastAsia"/>
          <w:color w:val="000000"/>
          <w:szCs w:val="32"/>
          <w:lang w:val="zh-CN"/>
        </w:rPr>
        <w:t>。</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eastAsia="黑体" w:hAnsi="Times New Roman" w:hint="eastAsia"/>
          <w:szCs w:val="32"/>
        </w:rPr>
        <w:t>第十条【能效指数数据报告】</w:t>
      </w:r>
      <w:r>
        <w:rPr>
          <w:rFonts w:ascii="Times New Roman" w:hAnsi="Times New Roman"/>
          <w:szCs w:val="32"/>
        </w:rPr>
        <w:t xml:space="preserve"> 400</w:t>
      </w:r>
      <w:r>
        <w:rPr>
          <w:rFonts w:ascii="Times New Roman" w:hAnsi="Times New Roman" w:hint="eastAsia"/>
          <w:szCs w:val="32"/>
        </w:rPr>
        <w:t>总吨及以上</w:t>
      </w:r>
      <w:r>
        <w:rPr>
          <w:rFonts w:ascii="Times New Roman" w:hAnsi="Times New Roman" w:hint="eastAsia"/>
          <w:color w:val="000000"/>
          <w:szCs w:val="32"/>
        </w:rPr>
        <w:t>中国籍国际航行船舶应当按照规定向船舶检验机构报告船舶</w:t>
      </w:r>
      <w:bookmarkStart w:id="2" w:name="_Hlk100651053"/>
      <w:proofErr w:type="gramStart"/>
      <w:r>
        <w:rPr>
          <w:rFonts w:ascii="Times New Roman" w:hAnsi="Times New Roman" w:hint="eastAsia"/>
          <w:color w:val="000000"/>
          <w:szCs w:val="32"/>
        </w:rPr>
        <w:t>能效指数</w:t>
      </w:r>
      <w:proofErr w:type="gramEnd"/>
      <w:r>
        <w:rPr>
          <w:rFonts w:ascii="Times New Roman" w:hAnsi="Times New Roman" w:hint="eastAsia"/>
          <w:color w:val="000000"/>
          <w:szCs w:val="32"/>
        </w:rPr>
        <w:t>数据</w:t>
      </w:r>
      <w:bookmarkEnd w:id="2"/>
      <w:r>
        <w:rPr>
          <w:rFonts w:ascii="Times New Roman" w:hAnsi="Times New Roman" w:hint="eastAsia"/>
          <w:color w:val="000000"/>
          <w:szCs w:val="32"/>
        </w:rPr>
        <w:t>。</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hAnsi="Times New Roman" w:hint="eastAsia"/>
          <w:color w:val="000000"/>
          <w:szCs w:val="32"/>
        </w:rPr>
        <w:t>船舶检验机构应当对船舶</w:t>
      </w:r>
      <w:proofErr w:type="gramStart"/>
      <w:r>
        <w:rPr>
          <w:rFonts w:ascii="Times New Roman" w:hAnsi="Times New Roman" w:hint="eastAsia"/>
          <w:color w:val="000000"/>
          <w:szCs w:val="32"/>
        </w:rPr>
        <w:t>能效指数</w:t>
      </w:r>
      <w:proofErr w:type="gramEnd"/>
      <w:r>
        <w:rPr>
          <w:rFonts w:ascii="Times New Roman" w:hAnsi="Times New Roman" w:hint="eastAsia"/>
          <w:color w:val="000000"/>
          <w:szCs w:val="32"/>
        </w:rPr>
        <w:t>数据进行核验，并在规定的时间内将经核验的数据报送至船舶能效管理中心。</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第十一条【主体责任】</w:t>
      </w:r>
      <w:r>
        <w:rPr>
          <w:rFonts w:ascii="Times New Roman" w:eastAsia="黑体" w:hAnsi="Times New Roman"/>
          <w:szCs w:val="32"/>
        </w:rPr>
        <w:t xml:space="preserve"> </w:t>
      </w:r>
      <w:r>
        <w:rPr>
          <w:rFonts w:ascii="Times New Roman" w:hAnsi="Times New Roman" w:hint="eastAsia"/>
          <w:color w:val="000000"/>
          <w:szCs w:val="32"/>
        </w:rPr>
        <w:t>船舶应当如实报告船舶能耗数据及船舶</w:t>
      </w:r>
      <w:proofErr w:type="gramStart"/>
      <w:r>
        <w:rPr>
          <w:rFonts w:ascii="Times New Roman" w:hAnsi="Times New Roman" w:hint="eastAsia"/>
          <w:color w:val="000000"/>
          <w:szCs w:val="32"/>
        </w:rPr>
        <w:t>能效指数</w:t>
      </w:r>
      <w:proofErr w:type="gramEnd"/>
      <w:r>
        <w:rPr>
          <w:rFonts w:ascii="Times New Roman" w:hAnsi="Times New Roman" w:hint="eastAsia"/>
          <w:color w:val="000000"/>
          <w:szCs w:val="32"/>
        </w:rPr>
        <w:t>数据，不得谎报、瞒报，并对数据的完整性和真实性负责。</w:t>
      </w:r>
    </w:p>
    <w:p w:rsidR="005D73B5" w:rsidRDefault="005D73B5">
      <w:pPr>
        <w:spacing w:line="580" w:lineRule="exact"/>
        <w:ind w:firstLine="576"/>
        <w:rPr>
          <w:rFonts w:ascii="Times New Roman" w:hAnsi="Times New Roman"/>
          <w:color w:val="000000"/>
          <w:szCs w:val="32"/>
        </w:rPr>
      </w:pPr>
    </w:p>
    <w:p w:rsidR="005D73B5" w:rsidRDefault="002714B2">
      <w:pPr>
        <w:spacing w:line="580" w:lineRule="exact"/>
        <w:jc w:val="center"/>
        <w:rPr>
          <w:rFonts w:ascii="Times New Roman" w:eastAsia="方正小标宋简体" w:hAnsi="Times New Roman"/>
          <w:szCs w:val="32"/>
        </w:rPr>
      </w:pPr>
      <w:r>
        <w:rPr>
          <w:rFonts w:ascii="Times New Roman" w:eastAsia="方正小标宋简体" w:hAnsi="Times New Roman" w:hint="eastAsia"/>
          <w:szCs w:val="32"/>
        </w:rPr>
        <w:t>第三章</w:t>
      </w:r>
      <w:r>
        <w:rPr>
          <w:rFonts w:ascii="Times New Roman" w:eastAsia="方正小标宋简体" w:hAnsi="Times New Roman"/>
          <w:szCs w:val="32"/>
        </w:rPr>
        <w:t xml:space="preserve"> 400</w:t>
      </w:r>
      <w:r>
        <w:rPr>
          <w:rFonts w:ascii="Times New Roman" w:eastAsia="方正小标宋简体" w:hAnsi="Times New Roman" w:hint="eastAsia"/>
          <w:szCs w:val="32"/>
        </w:rPr>
        <w:t>总吨及以上中国籍国际航行船舶</w:t>
      </w:r>
    </w:p>
    <w:p w:rsidR="005D73B5" w:rsidRDefault="002714B2">
      <w:pPr>
        <w:spacing w:line="580" w:lineRule="exact"/>
        <w:jc w:val="center"/>
        <w:rPr>
          <w:rFonts w:ascii="Times New Roman" w:eastAsia="方正小标宋简体" w:hAnsi="Times New Roman"/>
          <w:szCs w:val="32"/>
        </w:rPr>
      </w:pPr>
      <w:r>
        <w:rPr>
          <w:rFonts w:ascii="Times New Roman" w:eastAsia="方正小标宋简体" w:hAnsi="Times New Roman" w:hint="eastAsia"/>
          <w:szCs w:val="32"/>
        </w:rPr>
        <w:t>碳强度管理附加要求</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eastAsia="黑体" w:hAnsi="Times New Roman" w:hint="eastAsia"/>
          <w:szCs w:val="32"/>
        </w:rPr>
        <w:t>第十二条【能效指数】</w:t>
      </w:r>
      <w:r>
        <w:rPr>
          <w:rFonts w:ascii="Times New Roman" w:eastAsia="黑体" w:hAnsi="Times New Roman"/>
          <w:szCs w:val="32"/>
        </w:rPr>
        <w:t xml:space="preserve"> </w:t>
      </w:r>
      <w:r>
        <w:rPr>
          <w:rFonts w:ascii="Times New Roman" w:hAnsi="Times New Roman"/>
          <w:color w:val="000000"/>
          <w:szCs w:val="32"/>
        </w:rPr>
        <w:t>400</w:t>
      </w:r>
      <w:r>
        <w:rPr>
          <w:rFonts w:ascii="Times New Roman" w:hAnsi="Times New Roman" w:hint="eastAsia"/>
          <w:color w:val="000000"/>
          <w:szCs w:val="32"/>
        </w:rPr>
        <w:t>总吨及以上中国籍国际航行船舶应当符合我国加入的国际公约中船舶</w:t>
      </w:r>
      <w:proofErr w:type="gramStart"/>
      <w:r>
        <w:rPr>
          <w:rFonts w:ascii="Times New Roman" w:hAnsi="Times New Roman" w:hint="eastAsia"/>
          <w:color w:val="000000"/>
          <w:szCs w:val="32"/>
        </w:rPr>
        <w:t>能效指数</w:t>
      </w:r>
      <w:proofErr w:type="gramEnd"/>
      <w:r>
        <w:rPr>
          <w:rFonts w:ascii="Times New Roman" w:hAnsi="Times New Roman" w:hint="eastAsia"/>
          <w:color w:val="000000"/>
          <w:szCs w:val="32"/>
        </w:rPr>
        <w:t>相关要求，并取得《国际能效证书》。</w:t>
      </w:r>
    </w:p>
    <w:p w:rsidR="005D73B5" w:rsidRDefault="002714B2">
      <w:pPr>
        <w:adjustRightInd w:val="0"/>
        <w:spacing w:line="580" w:lineRule="exact"/>
        <w:ind w:firstLineChars="200" w:firstLine="640"/>
        <w:rPr>
          <w:rFonts w:ascii="Times New Roman" w:hAnsi="Times New Roman"/>
          <w:color w:val="000000"/>
          <w:szCs w:val="32"/>
        </w:rPr>
      </w:pPr>
      <w:r>
        <w:rPr>
          <w:rFonts w:ascii="Times New Roman" w:eastAsia="黑体" w:hAnsi="Times New Roman" w:hint="eastAsia"/>
          <w:szCs w:val="32"/>
        </w:rPr>
        <w:t>第十三条【能效管理计划配备与核发】</w:t>
      </w:r>
      <w:r>
        <w:rPr>
          <w:rFonts w:ascii="Times New Roman" w:eastAsia="黑体" w:hAnsi="Times New Roman"/>
          <w:szCs w:val="32"/>
        </w:rPr>
        <w:t xml:space="preserve"> </w:t>
      </w:r>
      <w:r>
        <w:rPr>
          <w:rFonts w:ascii="Times New Roman" w:hAnsi="Times New Roman"/>
          <w:color w:val="000000"/>
          <w:szCs w:val="32"/>
        </w:rPr>
        <w:t>400</w:t>
      </w:r>
      <w:r>
        <w:rPr>
          <w:rFonts w:ascii="Times New Roman" w:hAnsi="Times New Roman" w:hint="eastAsia"/>
          <w:color w:val="000000"/>
          <w:szCs w:val="32"/>
        </w:rPr>
        <w:t>总吨及以上中国籍国际航行船舶应当按照规定编制《船舶能效管理计划》并保存在船。</w:t>
      </w:r>
      <w:bookmarkStart w:id="3" w:name="_Hlk101282643"/>
    </w:p>
    <w:bookmarkEnd w:id="3"/>
    <w:p w:rsidR="005D73B5" w:rsidRDefault="002714B2">
      <w:pPr>
        <w:spacing w:line="580" w:lineRule="exact"/>
        <w:ind w:firstLine="576"/>
        <w:rPr>
          <w:rFonts w:ascii="Times New Roman" w:hAnsi="Times New Roman"/>
          <w:color w:val="000000"/>
          <w:szCs w:val="32"/>
        </w:rPr>
      </w:pPr>
      <w:r>
        <w:rPr>
          <w:rFonts w:ascii="Times New Roman" w:hAnsi="Times New Roman"/>
          <w:color w:val="000000"/>
          <w:szCs w:val="32"/>
        </w:rPr>
        <w:t>5000</w:t>
      </w:r>
      <w:r>
        <w:rPr>
          <w:rFonts w:ascii="Times New Roman" w:hAnsi="Times New Roman" w:hint="eastAsia"/>
          <w:color w:val="000000"/>
          <w:szCs w:val="32"/>
        </w:rPr>
        <w:t>总吨及以上中国籍国际航行船舶应当按照要求将《船舶能效管理计划》提交至船舶能效管理中心验证，通过验证的，由</w:t>
      </w:r>
      <w:r>
        <w:rPr>
          <w:rFonts w:ascii="Times New Roman" w:hAnsi="Times New Roman" w:hint="eastAsia"/>
          <w:szCs w:val="32"/>
        </w:rPr>
        <w:t>船舶能效管理中心</w:t>
      </w:r>
      <w:r>
        <w:rPr>
          <w:rFonts w:ascii="Times New Roman" w:hAnsi="Times New Roman" w:hint="eastAsia"/>
          <w:color w:val="000000"/>
          <w:szCs w:val="32"/>
        </w:rPr>
        <w:t>发放《船舶能效管理计划符合性确认书》。</w:t>
      </w:r>
    </w:p>
    <w:p w:rsidR="005D73B5" w:rsidRDefault="002714B2">
      <w:pPr>
        <w:spacing w:line="580" w:lineRule="exact"/>
        <w:ind w:firstLine="576"/>
        <w:rPr>
          <w:rFonts w:ascii="Times New Roman" w:hAnsi="Times New Roman"/>
          <w:sz w:val="31"/>
          <w:szCs w:val="31"/>
        </w:rPr>
      </w:pPr>
      <w:bookmarkStart w:id="4" w:name="OLE_LINK1"/>
      <w:r>
        <w:rPr>
          <w:rFonts w:ascii="Times New Roman" w:hAnsi="Times New Roman" w:hint="eastAsia"/>
          <w:sz w:val="31"/>
          <w:szCs w:val="31"/>
        </w:rPr>
        <w:t>船舶所有人、经营人或者管理人应当保证</w:t>
      </w:r>
      <w:r>
        <w:rPr>
          <w:rFonts w:ascii="Times New Roman" w:hAnsi="Times New Roman" w:hint="eastAsia"/>
          <w:color w:val="000000"/>
          <w:szCs w:val="32"/>
        </w:rPr>
        <w:t>《船舶能效管理计划》</w:t>
      </w:r>
      <w:r>
        <w:rPr>
          <w:rFonts w:ascii="Times New Roman" w:hAnsi="Times New Roman" w:hint="eastAsia"/>
          <w:sz w:val="31"/>
          <w:szCs w:val="31"/>
        </w:rPr>
        <w:t>的有效实施。</w:t>
      </w:r>
    </w:p>
    <w:bookmarkEnd w:id="4"/>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第十四条【能效管理计划重新核发】</w:t>
      </w:r>
      <w:r>
        <w:rPr>
          <w:rFonts w:ascii="Times New Roman" w:eastAsia="黑体" w:hAnsi="Times New Roman"/>
          <w:szCs w:val="32"/>
        </w:rPr>
        <w:t xml:space="preserve"> </w:t>
      </w:r>
      <w:r>
        <w:rPr>
          <w:rFonts w:ascii="Times New Roman" w:hAnsi="Times New Roman"/>
          <w:color w:val="000000"/>
          <w:szCs w:val="32"/>
        </w:rPr>
        <w:t>5000</w:t>
      </w:r>
      <w:r>
        <w:rPr>
          <w:rFonts w:ascii="Times New Roman" w:hAnsi="Times New Roman" w:hint="eastAsia"/>
          <w:color w:val="000000"/>
          <w:szCs w:val="32"/>
        </w:rPr>
        <w:t>总吨及以上中国籍国际航行船舶变更所有人、经营人或者管理人的，发生重大改建的，或者船舶能效管理中心在抽查审核其《船舶能效管理计划》的实施情况时发现不符合要求的，应当按照要求重新编制《船舶能效管理计划》并提交至船舶能效管理中心验证，通过验证的，由</w:t>
      </w:r>
      <w:r>
        <w:rPr>
          <w:rFonts w:ascii="Times New Roman" w:hAnsi="Times New Roman" w:hint="eastAsia"/>
          <w:szCs w:val="32"/>
        </w:rPr>
        <w:t>船舶能效管理中心</w:t>
      </w:r>
      <w:r>
        <w:rPr>
          <w:rFonts w:ascii="Times New Roman" w:hAnsi="Times New Roman" w:hint="eastAsia"/>
          <w:color w:val="000000"/>
          <w:szCs w:val="32"/>
        </w:rPr>
        <w:t>发放《船舶能效管理计划符合性确认书》。</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第十五条【营运碳强度相关数据报送】</w:t>
      </w:r>
      <w:r>
        <w:rPr>
          <w:rFonts w:ascii="Times New Roman" w:eastAsia="黑体" w:hAnsi="Times New Roman"/>
          <w:szCs w:val="32"/>
        </w:rPr>
        <w:t xml:space="preserve"> </w:t>
      </w:r>
      <w:r>
        <w:rPr>
          <w:rFonts w:ascii="Times New Roman" w:hAnsi="Times New Roman"/>
          <w:color w:val="000000"/>
          <w:szCs w:val="32"/>
        </w:rPr>
        <w:t>5000</w:t>
      </w:r>
      <w:r>
        <w:rPr>
          <w:rFonts w:ascii="Times New Roman" w:hAnsi="Times New Roman" w:hint="eastAsia"/>
          <w:color w:val="000000"/>
          <w:szCs w:val="32"/>
        </w:rPr>
        <w:t>总吨及以上中国籍国际航行船舶应当按照要求，于每年</w:t>
      </w:r>
      <w:r>
        <w:rPr>
          <w:rFonts w:ascii="Times New Roman" w:hAnsi="Times New Roman"/>
          <w:color w:val="000000"/>
          <w:szCs w:val="32"/>
        </w:rPr>
        <w:t>3</w:t>
      </w:r>
      <w:r>
        <w:rPr>
          <w:rFonts w:ascii="Times New Roman" w:hAnsi="Times New Roman" w:hint="eastAsia"/>
          <w:color w:val="000000"/>
          <w:szCs w:val="32"/>
        </w:rPr>
        <w:t>月</w:t>
      </w:r>
      <w:r>
        <w:rPr>
          <w:rFonts w:ascii="Times New Roman" w:hAnsi="Times New Roman"/>
          <w:color w:val="000000"/>
          <w:szCs w:val="32"/>
        </w:rPr>
        <w:t>31</w:t>
      </w:r>
      <w:r>
        <w:rPr>
          <w:rFonts w:ascii="Times New Roman" w:hAnsi="Times New Roman" w:hint="eastAsia"/>
          <w:color w:val="000000"/>
          <w:szCs w:val="32"/>
        </w:rPr>
        <w:t>日前向船舶能效管理中心报告上一日历年的船舶年度能耗数据及相关证明文件，并将船舶年度能耗报告数据及其原始数据留存至次年年底。</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适用于</w:t>
      </w:r>
      <w:r>
        <w:rPr>
          <w:rFonts w:ascii="Times New Roman" w:hAnsi="Times New Roman" w:hint="eastAsia"/>
          <w:szCs w:val="32"/>
        </w:rPr>
        <w:t>《国际防止船舶造成污染公约》附则</w:t>
      </w:r>
      <w:r>
        <w:rPr>
          <w:rFonts w:ascii="Times New Roman" w:hAnsi="Times New Roman"/>
          <w:szCs w:val="32"/>
        </w:rPr>
        <w:t>VI</w:t>
      </w:r>
      <w:r>
        <w:rPr>
          <w:rFonts w:ascii="Times New Roman" w:hAnsi="Times New Roman" w:hint="eastAsia"/>
          <w:color w:val="000000"/>
          <w:szCs w:val="32"/>
        </w:rPr>
        <w:t>第</w:t>
      </w:r>
      <w:r>
        <w:rPr>
          <w:rFonts w:ascii="Times New Roman" w:hAnsi="Times New Roman"/>
          <w:color w:val="000000"/>
          <w:szCs w:val="32"/>
        </w:rPr>
        <w:t>28</w:t>
      </w:r>
      <w:r>
        <w:rPr>
          <w:rFonts w:ascii="Times New Roman" w:hAnsi="Times New Roman" w:hint="eastAsia"/>
          <w:color w:val="000000"/>
          <w:szCs w:val="32"/>
        </w:rPr>
        <w:t>条的船舶，还须同时报告上一日历年达到的年度营运碳强度指标及相关证明文件。</w:t>
      </w:r>
    </w:p>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第十六条【营运碳强度相关数据核查与评级】</w:t>
      </w:r>
      <w:r>
        <w:rPr>
          <w:rFonts w:ascii="Times New Roman" w:eastAsia="黑体" w:hAnsi="Times New Roman"/>
          <w:szCs w:val="32"/>
        </w:rPr>
        <w:t xml:space="preserve"> </w:t>
      </w:r>
      <w:r>
        <w:rPr>
          <w:rFonts w:ascii="Times New Roman" w:hAnsi="Times New Roman" w:hint="eastAsia"/>
          <w:color w:val="000000"/>
          <w:szCs w:val="32"/>
        </w:rPr>
        <w:t>船舶能效管理中心应当对报送的船舶年度能耗报告数据进行核查，核定达到的船舶年度营运碳强度指标并评定年度营运碳强度等级。</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船舶年度营运碳强度等级分为</w:t>
      </w:r>
      <w:r>
        <w:rPr>
          <w:rFonts w:ascii="Times New Roman" w:hAnsi="Times New Roman"/>
          <w:color w:val="000000"/>
          <w:szCs w:val="32"/>
        </w:rPr>
        <w:t>A</w:t>
      </w:r>
      <w:r>
        <w:rPr>
          <w:rFonts w:ascii="Times New Roman" w:hAnsi="Times New Roman" w:hint="eastAsia"/>
          <w:color w:val="000000"/>
          <w:szCs w:val="32"/>
        </w:rPr>
        <w:t>、</w:t>
      </w:r>
      <w:r>
        <w:rPr>
          <w:rFonts w:ascii="Times New Roman" w:hAnsi="Times New Roman"/>
          <w:color w:val="000000"/>
          <w:szCs w:val="32"/>
        </w:rPr>
        <w:t>B</w:t>
      </w:r>
      <w:r>
        <w:rPr>
          <w:rFonts w:ascii="Times New Roman" w:hAnsi="Times New Roman" w:hint="eastAsia"/>
          <w:color w:val="000000"/>
          <w:szCs w:val="32"/>
        </w:rPr>
        <w:t>、</w:t>
      </w:r>
      <w:r>
        <w:rPr>
          <w:rFonts w:ascii="Times New Roman" w:hAnsi="Times New Roman"/>
          <w:color w:val="000000"/>
          <w:szCs w:val="32"/>
        </w:rPr>
        <w:t>C</w:t>
      </w:r>
      <w:r>
        <w:rPr>
          <w:rFonts w:ascii="Times New Roman" w:hAnsi="Times New Roman" w:hint="eastAsia"/>
          <w:color w:val="000000"/>
          <w:szCs w:val="32"/>
        </w:rPr>
        <w:t>、</w:t>
      </w:r>
      <w:r>
        <w:rPr>
          <w:rFonts w:ascii="Times New Roman" w:hAnsi="Times New Roman"/>
          <w:color w:val="000000"/>
          <w:szCs w:val="32"/>
        </w:rPr>
        <w:t xml:space="preserve">D </w:t>
      </w:r>
      <w:r>
        <w:rPr>
          <w:rFonts w:ascii="Times New Roman" w:hAnsi="Times New Roman" w:hint="eastAsia"/>
          <w:color w:val="000000"/>
          <w:szCs w:val="32"/>
        </w:rPr>
        <w:t>、</w:t>
      </w:r>
      <w:r>
        <w:rPr>
          <w:rFonts w:ascii="Times New Roman" w:hAnsi="Times New Roman"/>
          <w:color w:val="000000"/>
          <w:szCs w:val="32"/>
        </w:rPr>
        <w:t>E</w:t>
      </w:r>
      <w:r>
        <w:rPr>
          <w:rFonts w:ascii="Times New Roman" w:hAnsi="Times New Roman" w:hint="eastAsia"/>
          <w:color w:val="000000"/>
          <w:szCs w:val="32"/>
        </w:rPr>
        <w:t>，对应优秀、良好、合格、较差或极差的船舶能效水平。</w:t>
      </w:r>
    </w:p>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第十七条【符合声明发放】</w:t>
      </w:r>
      <w:r>
        <w:rPr>
          <w:rFonts w:ascii="Times New Roman" w:eastAsia="黑体" w:hAnsi="Times New Roman"/>
          <w:szCs w:val="32"/>
        </w:rPr>
        <w:t xml:space="preserve"> </w:t>
      </w:r>
      <w:r>
        <w:rPr>
          <w:rFonts w:ascii="Times New Roman" w:hAnsi="Times New Roman" w:hint="eastAsia"/>
          <w:color w:val="000000"/>
          <w:szCs w:val="32"/>
        </w:rPr>
        <w:t>船舶能效管理中心根据船舶年度能耗报告数据核查及船舶年度营运碳强度等级评定结果，于每年</w:t>
      </w:r>
      <w:r>
        <w:rPr>
          <w:rFonts w:ascii="Times New Roman" w:hAnsi="Times New Roman"/>
          <w:color w:val="000000"/>
          <w:szCs w:val="32"/>
        </w:rPr>
        <w:t>5</w:t>
      </w:r>
      <w:r>
        <w:rPr>
          <w:rFonts w:ascii="Times New Roman" w:hAnsi="Times New Roman" w:hint="eastAsia"/>
          <w:color w:val="000000"/>
          <w:szCs w:val="32"/>
        </w:rPr>
        <w:t>月</w:t>
      </w:r>
      <w:r>
        <w:rPr>
          <w:rFonts w:ascii="Times New Roman" w:hAnsi="Times New Roman"/>
          <w:color w:val="000000"/>
          <w:szCs w:val="32"/>
        </w:rPr>
        <w:t>31</w:t>
      </w:r>
      <w:r>
        <w:rPr>
          <w:rFonts w:ascii="Times New Roman" w:hAnsi="Times New Roman" w:hint="eastAsia"/>
          <w:color w:val="000000"/>
          <w:szCs w:val="32"/>
        </w:rPr>
        <w:t>日前向符合要求的船舶发放《燃油消耗报告和营运碳强度评级符合声明》。</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《燃油消耗报告和营运碳强度评级符合声明》应当在船上留存</w:t>
      </w:r>
      <w:r>
        <w:rPr>
          <w:rFonts w:ascii="Times New Roman" w:hAnsi="Times New Roman"/>
          <w:color w:val="000000"/>
          <w:szCs w:val="32"/>
        </w:rPr>
        <w:t>5</w:t>
      </w:r>
      <w:r>
        <w:rPr>
          <w:rFonts w:ascii="Times New Roman" w:hAnsi="Times New Roman" w:hint="eastAsia"/>
          <w:color w:val="000000"/>
          <w:szCs w:val="32"/>
        </w:rPr>
        <w:t>年。</w:t>
      </w:r>
    </w:p>
    <w:p w:rsidR="005D73B5" w:rsidRDefault="002714B2">
      <w:pPr>
        <w:spacing w:line="580" w:lineRule="exact"/>
        <w:ind w:firstLineChars="200" w:firstLine="640"/>
        <w:rPr>
          <w:rFonts w:ascii="Times New Roman" w:hAnsi="Times New Roman"/>
          <w:sz w:val="31"/>
          <w:szCs w:val="31"/>
        </w:rPr>
      </w:pPr>
      <w:r>
        <w:rPr>
          <w:rFonts w:ascii="Times New Roman" w:eastAsia="黑体" w:hAnsi="Times New Roman" w:hint="eastAsia"/>
          <w:szCs w:val="32"/>
        </w:rPr>
        <w:t>第十八条【特殊情形】</w:t>
      </w:r>
      <w:r>
        <w:rPr>
          <w:rFonts w:ascii="Times New Roman" w:eastAsia="黑体" w:hAnsi="Times New Roman"/>
          <w:szCs w:val="32"/>
        </w:rPr>
        <w:t xml:space="preserve"> </w:t>
      </w:r>
      <w:r>
        <w:rPr>
          <w:rFonts w:ascii="Times New Roman" w:hAnsi="Times New Roman" w:hint="eastAsia"/>
          <w:color w:val="000000"/>
          <w:szCs w:val="32"/>
        </w:rPr>
        <w:t>船舶年度营运碳强度等级评定结果为</w:t>
      </w:r>
      <w:r>
        <w:rPr>
          <w:rFonts w:ascii="Times New Roman" w:hAnsi="Times New Roman"/>
          <w:color w:val="000000"/>
          <w:szCs w:val="32"/>
        </w:rPr>
        <w:t>E</w:t>
      </w:r>
      <w:r>
        <w:rPr>
          <w:rFonts w:ascii="Times New Roman" w:hAnsi="Times New Roman" w:hint="eastAsia"/>
          <w:color w:val="000000"/>
          <w:szCs w:val="32"/>
        </w:rPr>
        <w:t>级或者连续三年为</w:t>
      </w:r>
      <w:r>
        <w:rPr>
          <w:rFonts w:ascii="Times New Roman" w:hAnsi="Times New Roman"/>
          <w:color w:val="000000"/>
          <w:szCs w:val="32"/>
        </w:rPr>
        <w:t>D</w:t>
      </w:r>
      <w:r>
        <w:rPr>
          <w:rFonts w:ascii="Times New Roman" w:hAnsi="Times New Roman" w:hint="eastAsia"/>
          <w:color w:val="000000"/>
          <w:szCs w:val="32"/>
        </w:rPr>
        <w:t>级的，应当立即制定整改行动计划并纳入《船舶能效管理计划》中，并于当年的</w:t>
      </w:r>
      <w:r>
        <w:rPr>
          <w:rFonts w:ascii="Times New Roman" w:hAnsi="Times New Roman"/>
          <w:color w:val="000000"/>
          <w:szCs w:val="32"/>
        </w:rPr>
        <w:t>4</w:t>
      </w:r>
      <w:r>
        <w:rPr>
          <w:rFonts w:ascii="Times New Roman" w:hAnsi="Times New Roman" w:hint="eastAsia"/>
          <w:color w:val="000000"/>
          <w:szCs w:val="32"/>
        </w:rPr>
        <w:t>月</w:t>
      </w:r>
      <w:r>
        <w:rPr>
          <w:rFonts w:ascii="Times New Roman" w:hAnsi="Times New Roman"/>
          <w:color w:val="000000"/>
          <w:szCs w:val="32"/>
        </w:rPr>
        <w:t>30</w:t>
      </w:r>
      <w:r>
        <w:rPr>
          <w:rFonts w:ascii="Times New Roman" w:hAnsi="Times New Roman" w:hint="eastAsia"/>
          <w:color w:val="000000"/>
          <w:szCs w:val="32"/>
        </w:rPr>
        <w:t>日之前，将修订后的《船舶能效管理计划》提交至船舶能效管理中心验证。</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修订后的《船舶能效管理计划》通过验证的，由</w:t>
      </w:r>
      <w:r>
        <w:rPr>
          <w:rFonts w:ascii="Times New Roman" w:hAnsi="Times New Roman" w:hint="eastAsia"/>
          <w:szCs w:val="32"/>
        </w:rPr>
        <w:t>船舶能效管理中心</w:t>
      </w:r>
      <w:r>
        <w:rPr>
          <w:rFonts w:ascii="Times New Roman" w:hAnsi="Times New Roman" w:hint="eastAsia"/>
          <w:color w:val="000000"/>
          <w:szCs w:val="32"/>
        </w:rPr>
        <w:t>向船舶发放《船舶能效管理计划符合性确认书》及《燃油消耗报告和营运碳强度评级符合声明》。</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第十九条【转籍或转公司船舶符合声明发放】</w:t>
      </w:r>
      <w:r>
        <w:rPr>
          <w:rFonts w:ascii="Times New Roman" w:eastAsia="黑体" w:hAnsi="Times New Roman"/>
          <w:szCs w:val="32"/>
        </w:rPr>
        <w:t xml:space="preserve"> </w:t>
      </w:r>
      <w:r>
        <w:rPr>
          <w:rFonts w:ascii="Times New Roman" w:hAnsi="Times New Roman"/>
          <w:color w:val="000000"/>
          <w:szCs w:val="32"/>
        </w:rPr>
        <w:t>5000</w:t>
      </w:r>
      <w:r>
        <w:rPr>
          <w:rFonts w:ascii="Times New Roman" w:hAnsi="Times New Roman" w:hint="eastAsia"/>
          <w:color w:val="000000"/>
          <w:szCs w:val="32"/>
        </w:rPr>
        <w:t>总吨及以上中国籍国际航行船舶转为外国籍，或变更所有人、经营人或者管理人的，应当在变更完成之日起</w:t>
      </w:r>
      <w:r>
        <w:rPr>
          <w:rFonts w:ascii="Times New Roman" w:hAnsi="Times New Roman"/>
          <w:color w:val="000000"/>
          <w:szCs w:val="32"/>
        </w:rPr>
        <w:t>1</w:t>
      </w:r>
      <w:r>
        <w:rPr>
          <w:rFonts w:ascii="Times New Roman" w:hAnsi="Times New Roman" w:hint="eastAsia"/>
          <w:color w:val="000000"/>
          <w:szCs w:val="32"/>
        </w:rPr>
        <w:t>个月内，向船舶能效管理中心报告变更完成日之前本日历年的船舶能耗数据。船舶能效管理中心应当对报告的数据进行核查，并向符合要求的船舶发放《燃油消耗报告和营运碳强度评级符合声明》。</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第二十条【激励措施】</w:t>
      </w:r>
      <w:r>
        <w:rPr>
          <w:rFonts w:ascii="Times New Roman" w:eastAsia="黑体" w:hAnsi="Times New Roman"/>
          <w:szCs w:val="32"/>
        </w:rPr>
        <w:t xml:space="preserve"> </w:t>
      </w:r>
      <w:r>
        <w:rPr>
          <w:rFonts w:ascii="Times New Roman" w:hAnsi="Times New Roman" w:hint="eastAsia"/>
          <w:color w:val="000000"/>
          <w:szCs w:val="32"/>
        </w:rPr>
        <w:t>中国海事局定期公布中国籍国际航行船舶年度营运碳强度评级结果。</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各级海事管理机构应当为年度营运碳强度评级为</w:t>
      </w:r>
      <w:r>
        <w:rPr>
          <w:rFonts w:ascii="Times New Roman" w:hAnsi="Times New Roman"/>
          <w:color w:val="000000"/>
          <w:szCs w:val="32"/>
        </w:rPr>
        <w:t>A</w:t>
      </w:r>
      <w:r>
        <w:rPr>
          <w:rFonts w:ascii="Times New Roman" w:hAnsi="Times New Roman" w:hint="eastAsia"/>
          <w:color w:val="000000"/>
          <w:szCs w:val="32"/>
        </w:rPr>
        <w:t>、</w:t>
      </w:r>
      <w:r>
        <w:rPr>
          <w:rFonts w:ascii="Times New Roman" w:hAnsi="Times New Roman"/>
          <w:color w:val="000000"/>
          <w:szCs w:val="32"/>
        </w:rPr>
        <w:t>B</w:t>
      </w:r>
      <w:r>
        <w:rPr>
          <w:rFonts w:ascii="Times New Roman" w:hAnsi="Times New Roman" w:hint="eastAsia"/>
          <w:color w:val="000000"/>
          <w:szCs w:val="32"/>
        </w:rPr>
        <w:t>的船舶提供便利，适当降低碳强度管理监督检查频次。鼓励有关单位为年度营运碳强度评级为</w:t>
      </w:r>
      <w:r>
        <w:rPr>
          <w:rFonts w:ascii="Times New Roman" w:hAnsi="Times New Roman"/>
          <w:color w:val="000000"/>
          <w:szCs w:val="32"/>
        </w:rPr>
        <w:t>A</w:t>
      </w:r>
      <w:r>
        <w:rPr>
          <w:rFonts w:ascii="Times New Roman" w:hAnsi="Times New Roman" w:hint="eastAsia"/>
          <w:color w:val="000000"/>
          <w:szCs w:val="32"/>
        </w:rPr>
        <w:t>、</w:t>
      </w:r>
      <w:r>
        <w:rPr>
          <w:rFonts w:ascii="Times New Roman" w:hAnsi="Times New Roman"/>
          <w:color w:val="000000"/>
          <w:szCs w:val="32"/>
        </w:rPr>
        <w:t>B</w:t>
      </w:r>
      <w:r>
        <w:rPr>
          <w:rFonts w:ascii="Times New Roman" w:hAnsi="Times New Roman" w:hint="eastAsia"/>
          <w:color w:val="000000"/>
          <w:szCs w:val="32"/>
        </w:rPr>
        <w:t>的船舶给予激励措施。</w:t>
      </w:r>
    </w:p>
    <w:p w:rsidR="005D73B5" w:rsidRDefault="002714B2">
      <w:pPr>
        <w:spacing w:line="580" w:lineRule="exact"/>
        <w:jc w:val="center"/>
        <w:rPr>
          <w:rFonts w:ascii="Times New Roman" w:eastAsia="方正小标宋简体" w:hAnsi="Times New Roman"/>
          <w:szCs w:val="32"/>
        </w:rPr>
      </w:pPr>
      <w:r>
        <w:rPr>
          <w:rFonts w:ascii="Times New Roman" w:eastAsia="方正小标宋简体" w:hAnsi="Times New Roman" w:hint="eastAsia"/>
          <w:szCs w:val="32"/>
        </w:rPr>
        <w:t>第四章</w:t>
      </w:r>
      <w:r>
        <w:rPr>
          <w:rFonts w:ascii="Times New Roman" w:eastAsia="方正小标宋简体" w:hAnsi="Times New Roman"/>
          <w:szCs w:val="32"/>
        </w:rPr>
        <w:t xml:space="preserve"> </w:t>
      </w:r>
      <w:r>
        <w:rPr>
          <w:rFonts w:ascii="Times New Roman" w:eastAsia="方正小标宋简体" w:hAnsi="Times New Roman" w:hint="eastAsia"/>
          <w:szCs w:val="32"/>
        </w:rPr>
        <w:t>监督管理</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第二十一条【监督职责】</w:t>
      </w:r>
      <w:r>
        <w:rPr>
          <w:rFonts w:ascii="Times New Roman" w:eastAsia="黑体" w:hAnsi="Times New Roman"/>
          <w:szCs w:val="32"/>
        </w:rPr>
        <w:t xml:space="preserve"> </w:t>
      </w:r>
      <w:r>
        <w:rPr>
          <w:rFonts w:ascii="Times New Roman" w:hAnsi="Times New Roman" w:hint="eastAsia"/>
          <w:color w:val="000000"/>
          <w:szCs w:val="32"/>
        </w:rPr>
        <w:t>海事管理机构应当</w:t>
      </w:r>
      <w:r>
        <w:rPr>
          <w:rFonts w:ascii="Times New Roman" w:hAnsi="Times New Roman" w:hint="eastAsia"/>
          <w:bCs/>
          <w:szCs w:val="32"/>
        </w:rPr>
        <w:t>按照中国海事局制定的监督管理指南</w:t>
      </w:r>
      <w:r>
        <w:rPr>
          <w:rFonts w:ascii="Times New Roman" w:hAnsi="Times New Roman" w:hint="eastAsia"/>
          <w:color w:val="000000"/>
          <w:szCs w:val="32"/>
        </w:rPr>
        <w:t>对船舶能耗数据、船舶</w:t>
      </w:r>
      <w:proofErr w:type="gramStart"/>
      <w:r>
        <w:rPr>
          <w:rFonts w:ascii="Times New Roman" w:hAnsi="Times New Roman" w:hint="eastAsia"/>
          <w:color w:val="000000"/>
          <w:szCs w:val="32"/>
        </w:rPr>
        <w:t>能效指数</w:t>
      </w:r>
      <w:proofErr w:type="gramEnd"/>
      <w:r>
        <w:rPr>
          <w:rFonts w:ascii="Times New Roman" w:hAnsi="Times New Roman" w:hint="eastAsia"/>
          <w:color w:val="000000"/>
          <w:szCs w:val="32"/>
        </w:rPr>
        <w:t>数据的收集和报告，以及船舶碳强度管理实施情况实施监督检查。</w:t>
      </w:r>
    </w:p>
    <w:p w:rsidR="005D73B5" w:rsidRDefault="002714B2">
      <w:pPr>
        <w:spacing w:line="580" w:lineRule="exact"/>
        <w:ind w:firstLineChars="200" w:firstLine="640"/>
        <w:rPr>
          <w:rFonts w:ascii="Times New Roman" w:hAnsi="Times New Roman"/>
          <w:bCs/>
          <w:szCs w:val="32"/>
        </w:rPr>
      </w:pPr>
      <w:r>
        <w:rPr>
          <w:rFonts w:ascii="Times New Roman" w:hAnsi="Times New Roman" w:hint="eastAsia"/>
          <w:color w:val="000000"/>
          <w:szCs w:val="32"/>
        </w:rPr>
        <w:t>船舶能效管理中心应当对船舶年度能耗数据和达到的年度营运碳强度指标进行核查。</w:t>
      </w:r>
      <w:r>
        <w:rPr>
          <w:rFonts w:ascii="Times New Roman" w:hAnsi="Times New Roman" w:hint="eastAsia"/>
          <w:bCs/>
          <w:szCs w:val="32"/>
        </w:rPr>
        <w:t>经核查发现问题的，应当移交该船舶船籍港所在地的海事管理机构按照有关法律法规和本办法要求实施检查。</w:t>
      </w:r>
    </w:p>
    <w:p w:rsidR="005D73B5" w:rsidRDefault="002714B2">
      <w:pPr>
        <w:spacing w:line="580" w:lineRule="exact"/>
        <w:ind w:firstLineChars="200" w:firstLine="640"/>
        <w:rPr>
          <w:rFonts w:ascii="Times New Roman" w:hAnsi="Times New Roman"/>
          <w:bCs/>
          <w:szCs w:val="32"/>
        </w:rPr>
      </w:pPr>
      <w:r>
        <w:rPr>
          <w:rFonts w:ascii="Times New Roman" w:hAnsi="Times New Roman" w:hint="eastAsia"/>
          <w:bCs/>
          <w:szCs w:val="32"/>
        </w:rPr>
        <w:t>船舶能效管理中心应当在</w:t>
      </w:r>
      <w:r>
        <w:rPr>
          <w:rFonts w:ascii="Times New Roman" w:hAnsi="Times New Roman" w:hint="eastAsia"/>
          <w:color w:val="000000"/>
          <w:szCs w:val="32"/>
        </w:rPr>
        <w:t>《燃油消耗报告和营运碳强度评级符合声明》发放六个月内，</w:t>
      </w:r>
      <w:r>
        <w:rPr>
          <w:rFonts w:ascii="Times New Roman" w:hAnsi="Times New Roman" w:hint="eastAsia"/>
          <w:bCs/>
          <w:szCs w:val="32"/>
        </w:rPr>
        <w:t>按照中国海事局制定的监督管理指南，对</w:t>
      </w:r>
      <w:r>
        <w:rPr>
          <w:rFonts w:ascii="Times New Roman" w:hAnsi="Times New Roman" w:hint="eastAsia"/>
          <w:color w:val="000000"/>
          <w:szCs w:val="32"/>
        </w:rPr>
        <w:t>《船舶能效管理计划》的实施情况进行抽查审核。</w:t>
      </w:r>
    </w:p>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第二十二条【违规处理】</w:t>
      </w:r>
      <w:r>
        <w:rPr>
          <w:rFonts w:ascii="Times New Roman" w:eastAsia="黑体" w:hAnsi="Times New Roman"/>
          <w:szCs w:val="32"/>
        </w:rPr>
        <w:t xml:space="preserve"> </w:t>
      </w:r>
      <w:r>
        <w:rPr>
          <w:rFonts w:ascii="Times New Roman" w:hAnsi="Times New Roman" w:hint="eastAsia"/>
          <w:color w:val="000000"/>
          <w:szCs w:val="32"/>
        </w:rPr>
        <w:t>海事管理机构发现船舶能耗数据报告错误的，应当督促船舶在三个工作日内重新报送。</w:t>
      </w:r>
    </w:p>
    <w:p w:rsidR="005D73B5" w:rsidRDefault="002714B2">
      <w:pPr>
        <w:spacing w:line="580" w:lineRule="exact"/>
        <w:ind w:firstLine="576"/>
        <w:rPr>
          <w:rFonts w:ascii="Times New Roman" w:hAnsi="Times New Roman"/>
          <w:sz w:val="31"/>
          <w:szCs w:val="31"/>
        </w:rPr>
      </w:pPr>
      <w:r>
        <w:rPr>
          <w:rFonts w:ascii="Times New Roman" w:eastAsia="黑体" w:hAnsi="Times New Roman" w:hint="eastAsia"/>
          <w:szCs w:val="32"/>
        </w:rPr>
        <w:t>第二十三条【行政调查】</w:t>
      </w:r>
      <w:r>
        <w:rPr>
          <w:rFonts w:ascii="Times New Roman" w:eastAsia="黑体" w:hAnsi="Times New Roman"/>
          <w:szCs w:val="32"/>
        </w:rPr>
        <w:t xml:space="preserve"> </w:t>
      </w:r>
      <w:r>
        <w:rPr>
          <w:rFonts w:ascii="Times New Roman" w:hAnsi="Times New Roman" w:hint="eastAsia"/>
          <w:color w:val="000000"/>
          <w:szCs w:val="32"/>
        </w:rPr>
        <w:t>海事管理机构发现船舶未按规定报告船舶能耗数据的，未持有或保存《燃油消耗报告和营运碳强度评级符合声明》《船舶能效管理计划符合性确认书》等证书文书的，应当依照相关法律法规和</w:t>
      </w:r>
      <w:r>
        <w:rPr>
          <w:rFonts w:ascii="Times New Roman" w:hAnsi="Times New Roman" w:hint="eastAsia"/>
          <w:bCs/>
          <w:szCs w:val="32"/>
        </w:rPr>
        <w:t>本办法的要求予以处理</w:t>
      </w:r>
      <w:r>
        <w:rPr>
          <w:rFonts w:ascii="Times New Roman" w:hAnsi="Times New Roman" w:hint="eastAsia"/>
          <w:color w:val="000000"/>
          <w:szCs w:val="32"/>
        </w:rPr>
        <w:t>和处罚。</w:t>
      </w:r>
    </w:p>
    <w:p w:rsidR="005D73B5" w:rsidRDefault="002714B2">
      <w:pPr>
        <w:spacing w:line="580" w:lineRule="exact"/>
        <w:jc w:val="center"/>
        <w:rPr>
          <w:rFonts w:ascii="Times New Roman" w:eastAsia="方正小标宋简体" w:hAnsi="Times New Roman"/>
          <w:szCs w:val="32"/>
        </w:rPr>
      </w:pPr>
      <w:r>
        <w:rPr>
          <w:rFonts w:ascii="Times New Roman" w:eastAsia="方正小标宋简体" w:hAnsi="Times New Roman" w:hint="eastAsia"/>
          <w:szCs w:val="32"/>
        </w:rPr>
        <w:t>第五章</w:t>
      </w:r>
      <w:r>
        <w:rPr>
          <w:rFonts w:ascii="Times New Roman" w:eastAsia="方正小标宋简体" w:hAnsi="Times New Roman"/>
          <w:szCs w:val="32"/>
        </w:rPr>
        <w:t xml:space="preserve"> </w:t>
      </w:r>
      <w:r>
        <w:rPr>
          <w:rFonts w:ascii="Times New Roman" w:eastAsia="方正小标宋简体" w:hAnsi="Times New Roman" w:hint="eastAsia"/>
          <w:szCs w:val="32"/>
        </w:rPr>
        <w:t>附则</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第二十四条【名词解释】</w:t>
      </w:r>
      <w:r>
        <w:rPr>
          <w:rFonts w:ascii="Times New Roman" w:eastAsia="黑体" w:hAnsi="Times New Roman"/>
          <w:szCs w:val="32"/>
        </w:rPr>
        <w:t xml:space="preserve"> </w:t>
      </w:r>
      <w:r>
        <w:rPr>
          <w:rFonts w:ascii="Times New Roman" w:hAnsi="Times New Roman" w:hint="eastAsia"/>
          <w:color w:val="000000"/>
          <w:szCs w:val="32"/>
        </w:rPr>
        <w:t>日历年，是指从</w:t>
      </w:r>
      <w:r>
        <w:rPr>
          <w:rFonts w:ascii="Times New Roman" w:hAnsi="Times New Roman"/>
          <w:color w:val="000000"/>
          <w:szCs w:val="32"/>
        </w:rPr>
        <w:t>1</w:t>
      </w:r>
      <w:r>
        <w:rPr>
          <w:rFonts w:ascii="Times New Roman" w:hAnsi="Times New Roman" w:hint="eastAsia"/>
          <w:color w:val="000000"/>
          <w:szCs w:val="32"/>
        </w:rPr>
        <w:t>月</w:t>
      </w:r>
      <w:r>
        <w:rPr>
          <w:rFonts w:ascii="Times New Roman" w:hAnsi="Times New Roman"/>
          <w:color w:val="000000"/>
          <w:szCs w:val="32"/>
        </w:rPr>
        <w:t>1</w:t>
      </w:r>
      <w:r>
        <w:rPr>
          <w:rFonts w:ascii="Times New Roman" w:hAnsi="Times New Roman" w:hint="eastAsia"/>
          <w:color w:val="000000"/>
          <w:szCs w:val="32"/>
        </w:rPr>
        <w:t>日至</w:t>
      </w:r>
      <w:r>
        <w:rPr>
          <w:rFonts w:ascii="Times New Roman" w:hAnsi="Times New Roman"/>
          <w:color w:val="000000"/>
          <w:szCs w:val="32"/>
        </w:rPr>
        <w:t>12</w:t>
      </w:r>
      <w:r>
        <w:rPr>
          <w:rFonts w:ascii="Times New Roman" w:hAnsi="Times New Roman" w:hint="eastAsia"/>
          <w:color w:val="000000"/>
          <w:szCs w:val="32"/>
        </w:rPr>
        <w:t>月</w:t>
      </w:r>
      <w:r>
        <w:rPr>
          <w:rFonts w:ascii="Times New Roman" w:hAnsi="Times New Roman"/>
          <w:color w:val="000000"/>
          <w:szCs w:val="32"/>
        </w:rPr>
        <w:t>31</w:t>
      </w:r>
      <w:r>
        <w:rPr>
          <w:rFonts w:ascii="Times New Roman" w:hAnsi="Times New Roman" w:hint="eastAsia"/>
          <w:color w:val="000000"/>
          <w:szCs w:val="32"/>
        </w:rPr>
        <w:t>日的时间段。</w:t>
      </w:r>
    </w:p>
    <w:p w:rsidR="005D73B5" w:rsidRDefault="002714B2">
      <w:pPr>
        <w:spacing w:line="580" w:lineRule="exact"/>
        <w:ind w:firstLine="576"/>
        <w:rPr>
          <w:rFonts w:ascii="Times New Roman" w:hAnsi="Times New Roman"/>
          <w:sz w:val="31"/>
          <w:szCs w:val="31"/>
        </w:rPr>
      </w:pPr>
      <w:r>
        <w:rPr>
          <w:rFonts w:ascii="Times New Roman" w:hAnsi="Times New Roman" w:hint="eastAsia"/>
          <w:sz w:val="31"/>
          <w:szCs w:val="31"/>
        </w:rPr>
        <w:t>船舶碳强度，是指船舶单位运输工作量的二氧化碳排放量，反映船舶能源利用效率。</w:t>
      </w:r>
    </w:p>
    <w:p w:rsidR="005D73B5" w:rsidRDefault="002714B2">
      <w:pPr>
        <w:spacing w:line="580" w:lineRule="exact"/>
        <w:ind w:firstLine="576"/>
        <w:rPr>
          <w:rFonts w:ascii="Times New Roman" w:hAnsi="Times New Roman"/>
          <w:sz w:val="31"/>
          <w:szCs w:val="31"/>
        </w:rPr>
      </w:pPr>
      <w:r>
        <w:rPr>
          <w:rFonts w:ascii="Times New Roman" w:hAnsi="Times New Roman" w:hint="eastAsia"/>
          <w:sz w:val="31"/>
          <w:szCs w:val="31"/>
        </w:rPr>
        <w:t>船舶能耗数据，是指与船舶能源消耗有关的船舶基本信息、运输活动数据以及燃料消耗数据。</w:t>
      </w:r>
    </w:p>
    <w:p w:rsidR="005D73B5" w:rsidRDefault="002714B2">
      <w:pPr>
        <w:spacing w:line="580" w:lineRule="exact"/>
        <w:ind w:firstLine="576"/>
        <w:rPr>
          <w:rFonts w:ascii="Times New Roman" w:hAnsi="Times New Roman"/>
          <w:sz w:val="31"/>
          <w:szCs w:val="31"/>
        </w:rPr>
      </w:pPr>
      <w:r>
        <w:rPr>
          <w:rFonts w:ascii="Times New Roman" w:hAnsi="Times New Roman" w:hint="eastAsia"/>
          <w:szCs w:val="32"/>
        </w:rPr>
        <w:t>船舶</w:t>
      </w:r>
      <w:proofErr w:type="gramStart"/>
      <w:r>
        <w:rPr>
          <w:rFonts w:ascii="Times New Roman" w:hAnsi="Times New Roman" w:hint="eastAsia"/>
          <w:szCs w:val="32"/>
        </w:rPr>
        <w:t>能效指数</w:t>
      </w:r>
      <w:proofErr w:type="gramEnd"/>
      <w:r>
        <w:rPr>
          <w:rFonts w:ascii="Times New Roman" w:hAnsi="Times New Roman" w:hint="eastAsia"/>
          <w:szCs w:val="32"/>
        </w:rPr>
        <w:t>数据，是指船舶能效设计指数和现有船舶</w:t>
      </w:r>
      <w:proofErr w:type="gramStart"/>
      <w:r>
        <w:rPr>
          <w:rFonts w:ascii="Times New Roman" w:hAnsi="Times New Roman" w:hint="eastAsia"/>
          <w:szCs w:val="32"/>
        </w:rPr>
        <w:t>能效指数</w:t>
      </w:r>
      <w:proofErr w:type="gramEnd"/>
      <w:r>
        <w:rPr>
          <w:rFonts w:ascii="Times New Roman" w:hAnsi="Times New Roman" w:hint="eastAsia"/>
          <w:szCs w:val="32"/>
        </w:rPr>
        <w:t>相关数据。</w:t>
      </w:r>
    </w:p>
    <w:p w:rsidR="005D73B5" w:rsidRDefault="002714B2">
      <w:pPr>
        <w:spacing w:line="580" w:lineRule="exact"/>
        <w:ind w:firstLine="576"/>
        <w:rPr>
          <w:rFonts w:ascii="Times New Roman" w:hAnsi="Times New Roman"/>
          <w:color w:val="000000"/>
          <w:szCs w:val="32"/>
        </w:rPr>
      </w:pPr>
      <w:r>
        <w:rPr>
          <w:rFonts w:ascii="Times New Roman" w:eastAsia="黑体" w:hAnsi="Times New Roman" w:hint="eastAsia"/>
          <w:szCs w:val="32"/>
        </w:rPr>
        <w:t>第二十五条【实施日期】</w:t>
      </w:r>
      <w:r>
        <w:rPr>
          <w:rFonts w:ascii="Times New Roman" w:eastAsia="黑体" w:hAnsi="Times New Roman"/>
          <w:szCs w:val="32"/>
        </w:rPr>
        <w:t xml:space="preserve"> </w:t>
      </w:r>
      <w:r>
        <w:rPr>
          <w:rFonts w:ascii="Times New Roman" w:hAnsi="Times New Roman" w:hint="eastAsia"/>
          <w:color w:val="000000"/>
          <w:szCs w:val="32"/>
        </w:rPr>
        <w:t>本办法自</w:t>
      </w:r>
      <w:r>
        <w:rPr>
          <w:rFonts w:ascii="Times New Roman" w:hAnsi="Times New Roman"/>
          <w:color w:val="000000"/>
          <w:szCs w:val="32"/>
        </w:rPr>
        <w:t>X</w:t>
      </w:r>
      <w:r>
        <w:rPr>
          <w:rFonts w:ascii="Times New Roman" w:hAnsi="Times New Roman" w:hint="eastAsia"/>
          <w:color w:val="000000"/>
          <w:szCs w:val="32"/>
        </w:rPr>
        <w:t>年</w:t>
      </w:r>
      <w:r>
        <w:rPr>
          <w:rFonts w:ascii="Times New Roman" w:hAnsi="Times New Roman"/>
          <w:color w:val="000000"/>
          <w:szCs w:val="32"/>
        </w:rPr>
        <w:t>X</w:t>
      </w:r>
      <w:r>
        <w:rPr>
          <w:rFonts w:ascii="Times New Roman" w:hAnsi="Times New Roman" w:hint="eastAsia"/>
          <w:color w:val="000000"/>
          <w:szCs w:val="32"/>
        </w:rPr>
        <w:t>月</w:t>
      </w:r>
      <w:r>
        <w:rPr>
          <w:rFonts w:ascii="Times New Roman" w:hAnsi="Times New Roman"/>
          <w:color w:val="000000"/>
          <w:szCs w:val="32"/>
        </w:rPr>
        <w:t>X</w:t>
      </w:r>
      <w:r>
        <w:rPr>
          <w:rFonts w:ascii="Times New Roman" w:hAnsi="Times New Roman" w:hint="eastAsia"/>
          <w:color w:val="000000"/>
          <w:szCs w:val="32"/>
        </w:rPr>
        <w:t>日起施行，有效期五年。</w:t>
      </w:r>
    </w:p>
    <w:p w:rsidR="005D73B5" w:rsidRDefault="002714B2">
      <w:pPr>
        <w:spacing w:line="580" w:lineRule="exact"/>
        <w:ind w:firstLine="576"/>
        <w:rPr>
          <w:rFonts w:ascii="Times New Roman" w:hAnsi="Times New Roman"/>
          <w:color w:val="000000"/>
          <w:szCs w:val="32"/>
        </w:rPr>
      </w:pPr>
      <w:r>
        <w:rPr>
          <w:rFonts w:ascii="Times New Roman" w:hAnsi="Times New Roman" w:hint="eastAsia"/>
          <w:color w:val="000000"/>
          <w:szCs w:val="32"/>
        </w:rPr>
        <w:t>自本办法施行之日起，《中华人民共和国海事局船舶能耗数据收集管理办法》</w:t>
      </w:r>
      <w:proofErr w:type="gramStart"/>
      <w:r>
        <w:rPr>
          <w:rFonts w:ascii="Times New Roman" w:hAnsi="Times New Roman" w:hint="eastAsia"/>
          <w:color w:val="000000"/>
          <w:szCs w:val="32"/>
        </w:rPr>
        <w:t>海危防</w:t>
      </w:r>
      <w:proofErr w:type="gramEnd"/>
      <w:r>
        <w:rPr>
          <w:rFonts w:ascii="Times New Roman" w:hAnsi="Times New Roman" w:hint="eastAsia"/>
          <w:color w:val="000000"/>
          <w:szCs w:val="32"/>
        </w:rPr>
        <w:t>〔</w:t>
      </w:r>
      <w:r>
        <w:rPr>
          <w:rFonts w:ascii="Times New Roman" w:hAnsi="Times New Roman"/>
          <w:color w:val="000000"/>
          <w:szCs w:val="32"/>
        </w:rPr>
        <w:t>2018</w:t>
      </w:r>
      <w:r>
        <w:rPr>
          <w:rFonts w:ascii="Times New Roman" w:hAnsi="Times New Roman" w:hint="eastAsia"/>
          <w:color w:val="000000"/>
          <w:szCs w:val="32"/>
        </w:rPr>
        <w:t>〕</w:t>
      </w:r>
      <w:r>
        <w:rPr>
          <w:rFonts w:ascii="Times New Roman" w:hAnsi="Times New Roman"/>
          <w:color w:val="000000"/>
          <w:szCs w:val="32"/>
        </w:rPr>
        <w:t>476</w:t>
      </w:r>
      <w:r>
        <w:rPr>
          <w:rFonts w:ascii="Times New Roman" w:hAnsi="Times New Roman" w:hint="eastAsia"/>
          <w:color w:val="000000"/>
          <w:szCs w:val="32"/>
        </w:rPr>
        <w:t>号同时废止。</w:t>
      </w:r>
    </w:p>
    <w:p w:rsidR="005D73B5" w:rsidRDefault="005D73B5">
      <w:pPr>
        <w:widowControl/>
        <w:snapToGrid/>
        <w:jc w:val="left"/>
        <w:rPr>
          <w:rFonts w:ascii="仿宋_GB2312" w:hAnsi="宋体" w:cs="仿宋_GB2312"/>
          <w:snapToGrid w:val="0"/>
          <w:sz w:val="31"/>
          <w:szCs w:val="31"/>
        </w:rPr>
        <w:sectPr w:rsidR="005D73B5">
          <w:footerReference w:type="first" r:id="rId8"/>
          <w:pgSz w:w="11906" w:h="16838"/>
          <w:pgMar w:top="1440" w:right="1800" w:bottom="1440" w:left="1800" w:header="851" w:footer="992" w:gutter="0"/>
          <w:cols w:space="720"/>
          <w:titlePg/>
          <w:docGrid w:type="lines" w:linePitch="312"/>
        </w:sectPr>
      </w:pPr>
    </w:p>
    <w:p w:rsidR="005D73B5" w:rsidRDefault="005D73B5">
      <w:pPr>
        <w:widowControl/>
        <w:snapToGrid/>
        <w:jc w:val="left"/>
        <w:rPr>
          <w:b/>
          <w:bCs/>
          <w:snapToGrid w:val="0"/>
          <w:szCs w:val="32"/>
        </w:rPr>
        <w:sectPr w:rsidR="005D73B5">
          <w:type w:val="continuous"/>
          <w:pgSz w:w="11906" w:h="16838"/>
          <w:pgMar w:top="2041" w:right="1531" w:bottom="2041" w:left="1531" w:header="851" w:footer="1616" w:gutter="0"/>
          <w:cols w:space="720"/>
          <w:titlePg/>
          <w:docGrid w:type="linesAndChars" w:linePitch="579" w:charSpace="-849"/>
        </w:sectPr>
      </w:pPr>
    </w:p>
    <w:p w:rsidR="005D73B5" w:rsidRDefault="002714B2">
      <w:pPr>
        <w:jc w:val="left"/>
        <w:rPr>
          <w:rFonts w:ascii="黑体" w:eastAsia="黑体" w:hAnsi="黑体"/>
          <w:szCs w:val="32"/>
        </w:rPr>
      </w:pPr>
      <w:r>
        <w:rPr>
          <w:rFonts w:ascii="黑体" w:eastAsia="黑体" w:hAnsi="黑体" w:hint="eastAsia"/>
          <w:szCs w:val="32"/>
        </w:rPr>
        <w:t>附件</w:t>
      </w:r>
    </w:p>
    <w:p w:rsidR="005D73B5" w:rsidRDefault="002714B2">
      <w:pPr>
        <w:jc w:val="center"/>
        <w:rPr>
          <w:rFonts w:ascii="方正小标宋_GBK" w:eastAsia="方正小标宋_GBK" w:hAnsi="宋体"/>
          <w:sz w:val="36"/>
          <w:szCs w:val="36"/>
        </w:rPr>
      </w:pPr>
      <w:r>
        <w:rPr>
          <w:rFonts w:ascii="方正小标宋_GBK" w:eastAsia="方正小标宋_GBK" w:hAnsi="宋体" w:hint="eastAsia"/>
          <w:sz w:val="36"/>
          <w:szCs w:val="36"/>
        </w:rPr>
        <w:t>船舶能耗数据收集记录表（航次记录）</w:t>
      </w:r>
    </w:p>
    <w:p w:rsidR="005D73B5" w:rsidRDefault="005D73B5">
      <w:pPr>
        <w:jc w:val="center"/>
        <w:rPr>
          <w:b/>
          <w:bCs/>
          <w:sz w:val="28"/>
          <w:szCs w:val="32"/>
        </w:rPr>
      </w:pPr>
    </w:p>
    <w:p w:rsidR="005D73B5" w:rsidRDefault="002714B2">
      <w:pPr>
        <w:adjustRightInd w:val="0"/>
        <w:rPr>
          <w:rFonts w:ascii="仿宋_GB2312" w:hAnsi="宋体"/>
          <w:sz w:val="24"/>
          <w:szCs w:val="24"/>
        </w:rPr>
      </w:pPr>
      <w:r>
        <w:rPr>
          <w:rFonts w:ascii="仿宋_GB2312" w:hAnsi="宋体" w:hint="eastAsia"/>
          <w:b/>
          <w:bCs/>
          <w:sz w:val="24"/>
          <w:szCs w:val="24"/>
        </w:rPr>
        <w:t>船名：         船舶识别号：          主机额定功率（kW）：</w:t>
      </w:r>
      <w:r>
        <w:rPr>
          <w:rFonts w:ascii="仿宋_GB2312" w:hAnsi="宋体" w:hint="eastAsia"/>
          <w:sz w:val="24"/>
          <w:szCs w:val="24"/>
        </w:rPr>
        <w:t xml:space="preserve">       </w:t>
      </w:r>
      <w:r>
        <w:rPr>
          <w:rFonts w:ascii="仿宋_GB2312" w:hAnsi="宋体" w:hint="eastAsia"/>
          <w:b/>
          <w:bCs/>
          <w:sz w:val="24"/>
          <w:szCs w:val="24"/>
        </w:rPr>
        <w:t xml:space="preserve">辅机额定功率（kW）：                锅炉额定功率（kW）：       </w:t>
      </w:r>
      <w:r>
        <w:rPr>
          <w:rFonts w:ascii="仿宋_GB2312" w:hAnsi="宋体" w:hint="eastAsia"/>
          <w:sz w:val="24"/>
          <w:szCs w:val="24"/>
        </w:rPr>
        <w:t xml:space="preserve"> </w:t>
      </w:r>
    </w:p>
    <w:p w:rsidR="005D73B5" w:rsidRDefault="002714B2" w:rsidP="00506B6D">
      <w:pPr>
        <w:adjustRightInd w:val="0"/>
        <w:ind w:left="1658" w:hangingChars="700" w:hanging="1658"/>
        <w:rPr>
          <w:rFonts w:ascii="仿宋_GB2312" w:hAnsi="宋体"/>
          <w:sz w:val="24"/>
          <w:szCs w:val="24"/>
        </w:rPr>
      </w:pPr>
      <w:r>
        <w:rPr>
          <w:rFonts w:ascii="仿宋_GB2312" w:hAnsi="宋体" w:hint="eastAsia"/>
          <w:b/>
          <w:bCs/>
          <w:sz w:val="24"/>
          <w:szCs w:val="24"/>
        </w:rPr>
        <w:t xml:space="preserve">船用燃料种类： </w:t>
      </w:r>
      <w:r>
        <w:rPr>
          <w:rFonts w:ascii="仿宋_GB2312" w:hAnsi="宋体" w:hint="eastAsia"/>
          <w:sz w:val="24"/>
          <w:szCs w:val="24"/>
        </w:rPr>
        <w:t xml:space="preserve">A.重（质）燃（料）油（HFO）  B.轻（质）燃（料）油（LFO）  C.船用重柴油（MDO）  D.船用轻柴油（MGO） </w:t>
      </w:r>
      <w:r>
        <w:rPr>
          <w:rFonts w:ascii="仿宋_GB2312" w:hAnsi="宋体"/>
          <w:sz w:val="24"/>
          <w:szCs w:val="24"/>
        </w:rPr>
        <w:t xml:space="preserve"> </w:t>
      </w:r>
      <w:r>
        <w:rPr>
          <w:rFonts w:ascii="仿宋_GB2312" w:hAnsi="宋体" w:hint="eastAsia"/>
          <w:sz w:val="24"/>
          <w:szCs w:val="24"/>
        </w:rPr>
        <w:t xml:space="preserve">E.内河船用燃料油 F.丙烷 </w:t>
      </w:r>
      <w:r>
        <w:rPr>
          <w:rFonts w:ascii="仿宋_GB2312" w:hAnsi="宋体"/>
          <w:sz w:val="24"/>
          <w:szCs w:val="24"/>
        </w:rPr>
        <w:t xml:space="preserve"> </w:t>
      </w:r>
      <w:r>
        <w:rPr>
          <w:rFonts w:ascii="仿宋_GB2312" w:hAnsi="宋体" w:hint="eastAsia"/>
          <w:sz w:val="24"/>
          <w:szCs w:val="24"/>
        </w:rPr>
        <w:t xml:space="preserve">G.丁烷  H.液化天然气（LPG）  I.甲醇 </w:t>
      </w:r>
      <w:r>
        <w:rPr>
          <w:rFonts w:ascii="仿宋_GB2312" w:hAnsi="宋体"/>
          <w:sz w:val="24"/>
          <w:szCs w:val="24"/>
        </w:rPr>
        <w:t xml:space="preserve"> </w:t>
      </w:r>
      <w:r>
        <w:rPr>
          <w:rFonts w:ascii="仿宋_GB2312" w:hAnsi="宋体" w:hint="eastAsia"/>
          <w:sz w:val="24"/>
          <w:szCs w:val="24"/>
        </w:rPr>
        <w:t xml:space="preserve">J.乙醇 </w:t>
      </w:r>
      <w:r>
        <w:rPr>
          <w:rFonts w:ascii="仿宋_GB2312" w:hAnsi="宋体"/>
          <w:sz w:val="24"/>
          <w:szCs w:val="24"/>
        </w:rPr>
        <w:t xml:space="preserve"> </w:t>
      </w:r>
      <w:r>
        <w:rPr>
          <w:rFonts w:ascii="仿宋_GB2312" w:hAnsi="宋体" w:hint="eastAsia"/>
          <w:sz w:val="24"/>
          <w:szCs w:val="24"/>
        </w:rPr>
        <w:t xml:space="preserve">K.氨 </w:t>
      </w:r>
      <w:r>
        <w:rPr>
          <w:rFonts w:ascii="仿宋_GB2312" w:hAnsi="宋体"/>
          <w:sz w:val="24"/>
          <w:szCs w:val="24"/>
        </w:rPr>
        <w:t xml:space="preserve"> </w:t>
      </w:r>
      <w:r>
        <w:rPr>
          <w:rFonts w:ascii="仿宋_GB2312" w:hAnsi="宋体" w:hint="eastAsia"/>
          <w:sz w:val="24"/>
          <w:szCs w:val="24"/>
        </w:rPr>
        <w:t xml:space="preserve">L.氢 </w:t>
      </w:r>
      <w:r>
        <w:rPr>
          <w:rFonts w:ascii="仿宋_GB2312" w:hAnsi="宋体"/>
          <w:sz w:val="24"/>
          <w:szCs w:val="24"/>
        </w:rPr>
        <w:t xml:space="preserve"> </w:t>
      </w:r>
      <w:r>
        <w:rPr>
          <w:rFonts w:ascii="仿宋_GB2312" w:hAnsi="宋体" w:hint="eastAsia"/>
          <w:sz w:val="24"/>
          <w:szCs w:val="24"/>
        </w:rPr>
        <w:t>M.电能  N.其他</w:t>
      </w:r>
      <w:r>
        <w:rPr>
          <w:rFonts w:ascii="仿宋_GB2312" w:hAnsi="宋体" w:hint="eastAsia"/>
          <w:sz w:val="24"/>
          <w:szCs w:val="24"/>
          <w:u w:val="single"/>
        </w:rPr>
        <w:t xml:space="preserve">         </w:t>
      </w:r>
      <w:r>
        <w:rPr>
          <w:rFonts w:ascii="仿宋_GB2312" w:hAnsi="宋体" w:hint="eastAsia"/>
          <w:sz w:val="24"/>
          <w:szCs w:val="24"/>
        </w:rPr>
        <w:t xml:space="preserve">      </w:t>
      </w:r>
    </w:p>
    <w:p w:rsidR="005D73B5" w:rsidRDefault="002714B2">
      <w:pPr>
        <w:adjustRightInd w:val="0"/>
        <w:rPr>
          <w:rFonts w:ascii="仿宋_GB2312" w:hAnsi="宋体"/>
          <w:sz w:val="24"/>
          <w:szCs w:val="24"/>
        </w:rPr>
      </w:pPr>
      <w:r>
        <w:rPr>
          <w:rFonts w:ascii="仿宋_GB2312" w:hAnsi="宋体" w:hint="eastAsia"/>
          <w:b/>
          <w:bCs/>
          <w:sz w:val="24"/>
          <w:szCs w:val="24"/>
        </w:rPr>
        <w:t>船用燃料消耗收集方法：</w:t>
      </w:r>
      <w:r>
        <w:rPr>
          <w:rFonts w:ascii="仿宋_GB2312" w:hAnsi="宋体" w:hint="eastAsia"/>
          <w:sz w:val="24"/>
          <w:szCs w:val="24"/>
        </w:rPr>
        <w:t xml:space="preserve">A.燃油舱测量法； B.加油签收单（BDNs）加总法；C.燃油消耗流量计法。 </w:t>
      </w:r>
    </w:p>
    <w:tbl>
      <w:tblPr>
        <w:tblpPr w:leftFromText="180" w:rightFromText="180" w:vertAnchor="text" w:horzAnchor="margin" w:tblpXSpec="center" w:tblpY="11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755"/>
        <w:gridCol w:w="720"/>
        <w:gridCol w:w="599"/>
        <w:gridCol w:w="590"/>
        <w:gridCol w:w="575"/>
        <w:gridCol w:w="731"/>
        <w:gridCol w:w="684"/>
        <w:gridCol w:w="603"/>
        <w:gridCol w:w="828"/>
        <w:gridCol w:w="734"/>
        <w:gridCol w:w="803"/>
        <w:gridCol w:w="856"/>
        <w:gridCol w:w="956"/>
        <w:gridCol w:w="787"/>
        <w:gridCol w:w="787"/>
        <w:gridCol w:w="884"/>
        <w:gridCol w:w="1015"/>
        <w:gridCol w:w="840"/>
        <w:gridCol w:w="937"/>
      </w:tblGrid>
      <w:tr w:rsidR="005D73B5">
        <w:tc>
          <w:tcPr>
            <w:tcW w:w="298"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能耗数据收集</w:t>
            </w:r>
          </w:p>
        </w:tc>
        <w:tc>
          <w:tcPr>
            <w:tcW w:w="853" w:type="pct"/>
            <w:gridSpan w:val="4"/>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港口名称及靠泊</w:t>
            </w:r>
          </w:p>
          <w:p w:rsidR="005D73B5" w:rsidRDefault="002714B2">
            <w:pPr>
              <w:jc w:val="center"/>
              <w:rPr>
                <w:sz w:val="24"/>
              </w:rPr>
            </w:pPr>
            <w:r>
              <w:rPr>
                <w:rFonts w:hint="eastAsia"/>
                <w:sz w:val="24"/>
              </w:rPr>
              <w:t>时间</w:t>
            </w:r>
            <w:r>
              <w:rPr>
                <w:sz w:val="24"/>
              </w:rPr>
              <w:t>*</w:t>
            </w:r>
          </w:p>
        </w:tc>
        <w:tc>
          <w:tcPr>
            <w:tcW w:w="1330" w:type="pct"/>
            <w:gridSpan w:val="6"/>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燃料消耗</w:t>
            </w:r>
            <w:r>
              <w:rPr>
                <w:sz w:val="24"/>
              </w:rPr>
              <w:t>*</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岸电使用</w:t>
            </w:r>
            <w:r>
              <w:rPr>
                <w:sz w:val="24"/>
              </w:rPr>
              <w:t>*</w:t>
            </w:r>
          </w:p>
        </w:tc>
        <w:tc>
          <w:tcPr>
            <w:tcW w:w="306"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距离</w:t>
            </w:r>
          </w:p>
        </w:tc>
        <w:tc>
          <w:tcPr>
            <w:tcW w:w="503" w:type="pct"/>
            <w:gridSpan w:val="2"/>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时间</w:t>
            </w:r>
          </w:p>
        </w:tc>
        <w:tc>
          <w:tcPr>
            <w:tcW w:w="877" w:type="pct"/>
            <w:gridSpan w:val="3"/>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客货量</w:t>
            </w:r>
            <w:r>
              <w:rPr>
                <w:sz w:val="24"/>
              </w:rPr>
              <w:t>*</w:t>
            </w:r>
          </w:p>
        </w:tc>
        <w:tc>
          <w:tcPr>
            <w:tcW w:w="303"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24"/>
              </w:rPr>
            </w:pPr>
            <w:r>
              <w:rPr>
                <w:rFonts w:hint="eastAsia"/>
                <w:sz w:val="24"/>
              </w:rPr>
              <w:t>收集人</w:t>
            </w:r>
          </w:p>
        </w:tc>
      </w:tr>
      <w:tr w:rsidR="005D73B5">
        <w:tc>
          <w:tcPr>
            <w:tcW w:w="298"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日期</w:t>
            </w:r>
            <w:r>
              <w:rPr>
                <w:sz w:val="18"/>
              </w:rPr>
              <w:t>/</w:t>
            </w:r>
            <w:r>
              <w:rPr>
                <w:rFonts w:hint="eastAsia"/>
                <w:sz w:val="18"/>
              </w:rPr>
              <w:t>时间</w:t>
            </w:r>
          </w:p>
        </w:tc>
        <w:tc>
          <w:tcPr>
            <w:tcW w:w="242"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上一港</w:t>
            </w:r>
          </w:p>
        </w:tc>
        <w:tc>
          <w:tcPr>
            <w:tcW w:w="231"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时间</w:t>
            </w:r>
          </w:p>
        </w:tc>
        <w:tc>
          <w:tcPr>
            <w:tcW w:w="192"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本港</w:t>
            </w:r>
          </w:p>
        </w:tc>
        <w:tc>
          <w:tcPr>
            <w:tcW w:w="189"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时间</w:t>
            </w:r>
          </w:p>
        </w:tc>
        <w:tc>
          <w:tcPr>
            <w:tcW w:w="184"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种类</w:t>
            </w:r>
            <w:r>
              <w:rPr>
                <w:sz w:val="18"/>
              </w:rPr>
              <w:t>1</w:t>
            </w:r>
          </w:p>
        </w:tc>
        <w:tc>
          <w:tcPr>
            <w:tcW w:w="234"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数量</w:t>
            </w:r>
          </w:p>
        </w:tc>
        <w:tc>
          <w:tcPr>
            <w:tcW w:w="219"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收集方法</w:t>
            </w:r>
          </w:p>
        </w:tc>
        <w:tc>
          <w:tcPr>
            <w:tcW w:w="193"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种类</w:t>
            </w:r>
            <w:r>
              <w:rPr>
                <w:sz w:val="18"/>
              </w:rPr>
              <w:t>2</w:t>
            </w:r>
          </w:p>
        </w:tc>
        <w:tc>
          <w:tcPr>
            <w:tcW w:w="265"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数量</w:t>
            </w:r>
          </w:p>
        </w:tc>
        <w:tc>
          <w:tcPr>
            <w:tcW w:w="235"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收集方法</w:t>
            </w:r>
          </w:p>
        </w:tc>
        <w:tc>
          <w:tcPr>
            <w:tcW w:w="257"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使用时长（</w:t>
            </w:r>
            <w:r>
              <w:rPr>
                <w:sz w:val="18"/>
              </w:rPr>
              <w:t>h</w:t>
            </w:r>
            <w:r>
              <w:rPr>
                <w:rFonts w:hint="eastAsia"/>
                <w:sz w:val="18"/>
              </w:rPr>
              <w:t>）</w:t>
            </w:r>
          </w:p>
        </w:tc>
        <w:tc>
          <w:tcPr>
            <w:tcW w:w="274"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消耗电量（</w:t>
            </w:r>
            <w:r>
              <w:rPr>
                <w:sz w:val="18"/>
              </w:rPr>
              <w:t>kW</w:t>
            </w:r>
            <w:r>
              <w:rPr>
                <w:rFonts w:ascii="微软雅黑" w:eastAsia="微软雅黑" w:hAnsi="微软雅黑" w:cs="微软雅黑" w:hint="eastAsia"/>
                <w:sz w:val="18"/>
              </w:rPr>
              <w:t>•</w:t>
            </w:r>
            <w:r>
              <w:rPr>
                <w:sz w:val="18"/>
              </w:rPr>
              <w:t>h</w:t>
            </w:r>
            <w:r>
              <w:rPr>
                <w:rFonts w:hint="eastAsia"/>
                <w:sz w:val="18"/>
              </w:rPr>
              <w:t>）</w:t>
            </w:r>
          </w:p>
        </w:tc>
        <w:tc>
          <w:tcPr>
            <w:tcW w:w="306"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航行距离</w:t>
            </w:r>
            <w:r>
              <w:rPr>
                <w:sz w:val="18"/>
              </w:rPr>
              <w:t>*</w:t>
            </w:r>
            <w:r>
              <w:rPr>
                <w:rFonts w:hint="eastAsia"/>
                <w:sz w:val="18"/>
              </w:rPr>
              <w:t>（海里或公里）</w:t>
            </w:r>
          </w:p>
        </w:tc>
        <w:tc>
          <w:tcPr>
            <w:tcW w:w="252"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航行时间</w:t>
            </w:r>
            <w:r>
              <w:rPr>
                <w:sz w:val="18"/>
              </w:rPr>
              <w:t>*</w:t>
            </w:r>
            <w:r>
              <w:rPr>
                <w:rFonts w:hint="eastAsia"/>
                <w:sz w:val="18"/>
              </w:rPr>
              <w:t>（</w:t>
            </w:r>
            <w:r>
              <w:rPr>
                <w:sz w:val="18"/>
              </w:rPr>
              <w:t>h</w:t>
            </w:r>
            <w:r>
              <w:rPr>
                <w:rFonts w:hint="eastAsia"/>
                <w:sz w:val="18"/>
              </w:rPr>
              <w:t>）</w:t>
            </w:r>
          </w:p>
        </w:tc>
        <w:tc>
          <w:tcPr>
            <w:tcW w:w="252"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营运时间</w:t>
            </w:r>
            <w:r>
              <w:rPr>
                <w:sz w:val="18"/>
              </w:rPr>
              <w:t>*</w:t>
            </w:r>
            <w:r>
              <w:rPr>
                <w:rFonts w:hint="eastAsia"/>
                <w:sz w:val="18"/>
              </w:rPr>
              <w:t>（</w:t>
            </w:r>
            <w:r>
              <w:rPr>
                <w:sz w:val="18"/>
              </w:rPr>
              <w:t>h</w:t>
            </w:r>
            <w:r>
              <w:rPr>
                <w:rFonts w:hint="eastAsia"/>
                <w:sz w:val="18"/>
              </w:rPr>
              <w:t>）</w:t>
            </w:r>
          </w:p>
        </w:tc>
        <w:tc>
          <w:tcPr>
            <w:tcW w:w="283"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货物总质量（吨）</w:t>
            </w:r>
          </w:p>
        </w:tc>
        <w:tc>
          <w:tcPr>
            <w:tcW w:w="325"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集装箱（</w:t>
            </w:r>
            <w:r>
              <w:rPr>
                <w:sz w:val="18"/>
              </w:rPr>
              <w:t>TEU</w:t>
            </w:r>
            <w:r>
              <w:rPr>
                <w:rFonts w:hint="eastAsia"/>
                <w:sz w:val="18"/>
              </w:rPr>
              <w:t>）</w:t>
            </w:r>
          </w:p>
        </w:tc>
        <w:tc>
          <w:tcPr>
            <w:tcW w:w="269" w:type="pct"/>
            <w:tcBorders>
              <w:top w:val="single" w:sz="4" w:space="0" w:color="auto"/>
              <w:left w:val="single" w:sz="4" w:space="0" w:color="auto"/>
              <w:bottom w:val="single" w:sz="4" w:space="0" w:color="auto"/>
              <w:right w:val="single" w:sz="4" w:space="0" w:color="auto"/>
            </w:tcBorders>
            <w:vAlign w:val="center"/>
          </w:tcPr>
          <w:p w:rsidR="005D73B5" w:rsidRDefault="002714B2">
            <w:pPr>
              <w:jc w:val="center"/>
              <w:rPr>
                <w:sz w:val="18"/>
              </w:rPr>
            </w:pPr>
            <w:r>
              <w:rPr>
                <w:rFonts w:hint="eastAsia"/>
                <w:sz w:val="18"/>
              </w:rPr>
              <w:t>载客</w:t>
            </w:r>
            <w:r>
              <w:rPr>
                <w:sz w:val="18"/>
              </w:rPr>
              <w:t>(</w:t>
            </w:r>
            <w:r>
              <w:rPr>
                <w:rFonts w:hint="eastAsia"/>
                <w:sz w:val="18"/>
              </w:rPr>
              <w:t>人</w:t>
            </w:r>
            <w:r>
              <w:rPr>
                <w:sz w:val="18"/>
              </w:rPr>
              <w:t>)</w:t>
            </w:r>
          </w:p>
        </w:tc>
        <w:tc>
          <w:tcPr>
            <w:tcW w:w="303" w:type="pct"/>
            <w:tcBorders>
              <w:top w:val="single" w:sz="4" w:space="0" w:color="auto"/>
              <w:left w:val="single" w:sz="4" w:space="0" w:color="auto"/>
              <w:bottom w:val="single" w:sz="4" w:space="0" w:color="auto"/>
              <w:right w:val="single" w:sz="4" w:space="0" w:color="auto"/>
            </w:tcBorders>
            <w:vAlign w:val="center"/>
          </w:tcPr>
          <w:p w:rsidR="005D73B5" w:rsidRDefault="005D73B5">
            <w:pPr>
              <w:jc w:val="center"/>
              <w:rPr>
                <w:sz w:val="18"/>
              </w:rPr>
            </w:pPr>
          </w:p>
        </w:tc>
      </w:tr>
      <w:tr w:rsidR="005D73B5">
        <w:trPr>
          <w:trHeight w:val="411"/>
        </w:trPr>
        <w:tc>
          <w:tcPr>
            <w:tcW w:w="298"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42"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31"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192"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189"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184"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34"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19"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193"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1"/>
              </w:rPr>
            </w:pPr>
          </w:p>
        </w:tc>
        <w:tc>
          <w:tcPr>
            <w:tcW w:w="26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1"/>
              </w:rPr>
            </w:pPr>
          </w:p>
        </w:tc>
        <w:tc>
          <w:tcPr>
            <w:tcW w:w="23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1"/>
              </w:rPr>
            </w:pPr>
          </w:p>
        </w:tc>
        <w:tc>
          <w:tcPr>
            <w:tcW w:w="257"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74"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306"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83"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325"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269"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c>
          <w:tcPr>
            <w:tcW w:w="303" w:type="pct"/>
            <w:tcBorders>
              <w:top w:val="single" w:sz="4" w:space="0" w:color="auto"/>
              <w:left w:val="single" w:sz="4" w:space="0" w:color="auto"/>
              <w:bottom w:val="single" w:sz="4" w:space="0" w:color="auto"/>
              <w:right w:val="single" w:sz="4" w:space="0" w:color="auto"/>
            </w:tcBorders>
          </w:tcPr>
          <w:p w:rsidR="005D73B5" w:rsidRDefault="005D73B5">
            <w:pPr>
              <w:rPr>
                <w:sz w:val="21"/>
              </w:rPr>
            </w:pPr>
          </w:p>
        </w:tc>
      </w:tr>
      <w:tr w:rsidR="005D73B5">
        <w:tc>
          <w:tcPr>
            <w:tcW w:w="298"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4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31"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9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8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8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3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1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93"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6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3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57"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7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06"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83"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25"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6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03"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r>
      <w:tr w:rsidR="005D73B5">
        <w:tc>
          <w:tcPr>
            <w:tcW w:w="298"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4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31"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9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8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8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3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1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193"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6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35" w:type="pct"/>
            <w:tcBorders>
              <w:top w:val="single" w:sz="4" w:space="0" w:color="auto"/>
              <w:left w:val="single" w:sz="4" w:space="0" w:color="auto"/>
              <w:bottom w:val="single" w:sz="4" w:space="0" w:color="auto"/>
              <w:right w:val="single" w:sz="4" w:space="0" w:color="auto"/>
            </w:tcBorders>
          </w:tcPr>
          <w:p w:rsidR="005D73B5" w:rsidRDefault="005D73B5">
            <w:pPr>
              <w:rPr>
                <w:color w:val="FF0000"/>
                <w:sz w:val="28"/>
              </w:rPr>
            </w:pPr>
          </w:p>
        </w:tc>
        <w:tc>
          <w:tcPr>
            <w:tcW w:w="257"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74"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06"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52"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83"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25"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269"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c>
          <w:tcPr>
            <w:tcW w:w="303" w:type="pct"/>
            <w:tcBorders>
              <w:top w:val="single" w:sz="4" w:space="0" w:color="auto"/>
              <w:left w:val="single" w:sz="4" w:space="0" w:color="auto"/>
              <w:bottom w:val="single" w:sz="4" w:space="0" w:color="auto"/>
              <w:right w:val="single" w:sz="4" w:space="0" w:color="auto"/>
            </w:tcBorders>
          </w:tcPr>
          <w:p w:rsidR="005D73B5" w:rsidRDefault="005D73B5">
            <w:pPr>
              <w:rPr>
                <w:sz w:val="28"/>
              </w:rPr>
            </w:pPr>
          </w:p>
        </w:tc>
      </w:tr>
    </w:tbl>
    <w:p w:rsidR="005D73B5" w:rsidRDefault="005D73B5" w:rsidP="00506B6D">
      <w:pPr>
        <w:ind w:right="824" w:firstLineChars="3400" w:firstLine="8019"/>
        <w:rPr>
          <w:rFonts w:ascii="宋体" w:eastAsia="宋体" w:hAnsi="宋体" w:cs="宋体"/>
          <w:color w:val="000000"/>
          <w:sz w:val="24"/>
          <w:szCs w:val="24"/>
          <w:lang w:bidi="ar"/>
        </w:rPr>
      </w:pPr>
    </w:p>
    <w:p w:rsidR="005D73B5" w:rsidRDefault="002714B2" w:rsidP="00506B6D">
      <w:pPr>
        <w:ind w:right="824" w:firstLineChars="3400" w:firstLine="8019"/>
        <w:rPr>
          <w:rFonts w:ascii="仿宋_GB2312" w:hAnsi="宋体" w:cs="宋体"/>
          <w:color w:val="000000"/>
          <w:sz w:val="24"/>
          <w:szCs w:val="24"/>
          <w:lang w:bidi="ar"/>
        </w:rPr>
      </w:pPr>
      <w:r>
        <w:rPr>
          <w:rFonts w:ascii="仿宋_GB2312" w:hAnsi="宋体" w:cs="宋体" w:hint="eastAsia"/>
          <w:color w:val="000000"/>
          <w:sz w:val="24"/>
          <w:szCs w:val="24"/>
          <w:lang w:bidi="ar"/>
        </w:rPr>
        <w:t>船长签字:                            日期:</w:t>
      </w:r>
    </w:p>
    <w:p w:rsidR="005D73B5" w:rsidRDefault="005D73B5">
      <w:pPr>
        <w:ind w:firstLineChars="200" w:firstLine="412"/>
        <w:rPr>
          <w:rFonts w:ascii="宋体" w:hAnsi="宋体" w:cs="宋体"/>
          <w:color w:val="000000"/>
          <w:sz w:val="21"/>
          <w:szCs w:val="21"/>
          <w:lang w:bidi="ar"/>
        </w:rPr>
      </w:pPr>
    </w:p>
    <w:p w:rsidR="005D73B5" w:rsidRDefault="005D73B5">
      <w:pPr>
        <w:ind w:firstLineChars="200" w:firstLine="412"/>
        <w:rPr>
          <w:rFonts w:ascii="宋体" w:hAnsi="宋体" w:cs="宋体"/>
          <w:color w:val="000000"/>
          <w:sz w:val="21"/>
          <w:szCs w:val="21"/>
          <w:lang w:bidi="ar"/>
        </w:rPr>
      </w:pPr>
    </w:p>
    <w:p w:rsidR="005D73B5" w:rsidRDefault="002714B2">
      <w:pPr>
        <w:rPr>
          <w:rFonts w:ascii="宋体" w:hAnsi="宋体" w:cs="宋体"/>
          <w:color w:val="000000"/>
          <w:sz w:val="21"/>
          <w:szCs w:val="21"/>
          <w:lang w:bidi="ar"/>
        </w:rPr>
      </w:pPr>
      <w:r>
        <w:rPr>
          <w:rFonts w:ascii="宋体" w:hAnsi="宋体" w:cs="宋体" w:hint="eastAsia"/>
          <w:color w:val="000000"/>
          <w:sz w:val="21"/>
          <w:szCs w:val="21"/>
          <w:lang w:bidi="ar"/>
        </w:rPr>
        <w:t>填表说明：</w:t>
      </w:r>
      <w:r>
        <w:rPr>
          <w:rFonts w:ascii="宋体" w:hAnsi="宋体" w:cs="宋体" w:hint="eastAsia"/>
          <w:color w:val="000000"/>
          <w:sz w:val="21"/>
          <w:szCs w:val="21"/>
          <w:lang w:bidi="ar"/>
        </w:rPr>
        <w:t>1</w:t>
      </w:r>
      <w:r>
        <w:rPr>
          <w:rFonts w:ascii="宋体" w:hAnsi="宋体" w:cs="宋体" w:hint="eastAsia"/>
          <w:color w:val="000000"/>
          <w:sz w:val="21"/>
          <w:szCs w:val="21"/>
          <w:lang w:bidi="ar"/>
        </w:rPr>
        <w:t>、靠泊时间</w:t>
      </w:r>
      <w:proofErr w:type="gramStart"/>
      <w:r>
        <w:rPr>
          <w:rFonts w:ascii="宋体" w:hAnsi="宋体" w:cs="宋体" w:hint="eastAsia"/>
          <w:color w:val="000000"/>
          <w:sz w:val="21"/>
          <w:szCs w:val="21"/>
          <w:lang w:bidi="ar"/>
        </w:rPr>
        <w:t>系指至靠好</w:t>
      </w:r>
      <w:proofErr w:type="gramEnd"/>
      <w:r>
        <w:rPr>
          <w:rFonts w:ascii="宋体" w:hAnsi="宋体" w:cs="宋体" w:hint="eastAsia"/>
          <w:color w:val="000000"/>
          <w:sz w:val="21"/>
          <w:szCs w:val="21"/>
          <w:lang w:bidi="ar"/>
        </w:rPr>
        <w:t>码头泊位、锚地或浮筒，</w:t>
      </w:r>
      <w:proofErr w:type="gramStart"/>
      <w:r>
        <w:rPr>
          <w:rFonts w:ascii="宋体" w:hAnsi="宋体" w:cs="宋体" w:hint="eastAsia"/>
          <w:color w:val="000000"/>
          <w:sz w:val="21"/>
          <w:szCs w:val="21"/>
          <w:lang w:bidi="ar"/>
        </w:rPr>
        <w:t>系妥第一根</w:t>
      </w:r>
      <w:proofErr w:type="gramEnd"/>
      <w:r>
        <w:rPr>
          <w:rFonts w:ascii="宋体" w:hAnsi="宋体" w:cs="宋体" w:hint="eastAsia"/>
          <w:color w:val="000000"/>
          <w:sz w:val="21"/>
          <w:szCs w:val="21"/>
          <w:lang w:bidi="ar"/>
        </w:rPr>
        <w:t>缆绳或抛下第一个船锚时的时间。</w:t>
      </w:r>
      <w:r>
        <w:rPr>
          <w:rFonts w:ascii="宋体" w:hAnsi="宋体" w:cs="宋体" w:hint="eastAsia"/>
          <w:color w:val="000000"/>
          <w:sz w:val="21"/>
          <w:szCs w:val="21"/>
          <w:lang w:bidi="ar"/>
        </w:rPr>
        <w:t>2</w:t>
      </w:r>
      <w:r>
        <w:rPr>
          <w:rFonts w:ascii="宋体" w:hAnsi="宋体" w:cs="宋体" w:hint="eastAsia"/>
          <w:color w:val="000000"/>
          <w:sz w:val="21"/>
          <w:szCs w:val="21"/>
          <w:lang w:bidi="ar"/>
        </w:rPr>
        <w:t>、燃料消耗，当船舶使用燃料多于两种时，可以自行增加燃料消耗种类，如种类</w:t>
      </w:r>
      <w:r>
        <w:rPr>
          <w:rFonts w:ascii="宋体" w:hAnsi="宋体" w:cs="宋体" w:hint="eastAsia"/>
          <w:color w:val="000000"/>
          <w:sz w:val="21"/>
          <w:szCs w:val="21"/>
          <w:lang w:bidi="ar"/>
        </w:rPr>
        <w:t>3</w:t>
      </w:r>
      <w:r>
        <w:rPr>
          <w:rFonts w:ascii="宋体" w:hAnsi="宋体" w:cs="宋体" w:hint="eastAsia"/>
          <w:color w:val="000000"/>
          <w:sz w:val="21"/>
          <w:szCs w:val="21"/>
          <w:lang w:bidi="ar"/>
        </w:rPr>
        <w:t>、种类</w:t>
      </w:r>
      <w:r>
        <w:rPr>
          <w:rFonts w:ascii="宋体" w:hAnsi="宋体" w:cs="宋体" w:hint="eastAsia"/>
          <w:color w:val="000000"/>
          <w:sz w:val="21"/>
          <w:szCs w:val="21"/>
          <w:lang w:bidi="ar"/>
        </w:rPr>
        <w:t>4</w:t>
      </w:r>
      <w:r>
        <w:rPr>
          <w:rFonts w:ascii="宋体" w:hAnsi="宋体" w:cs="宋体" w:hint="eastAsia"/>
          <w:color w:val="000000"/>
          <w:sz w:val="21"/>
          <w:szCs w:val="21"/>
          <w:lang w:bidi="ar"/>
        </w:rPr>
        <w:t>等以适用本船。</w:t>
      </w:r>
      <w:r>
        <w:rPr>
          <w:rFonts w:ascii="宋体" w:hAnsi="宋体" w:cs="宋体" w:hint="eastAsia"/>
          <w:color w:val="000000"/>
          <w:sz w:val="21"/>
          <w:szCs w:val="21"/>
          <w:lang w:bidi="ar"/>
        </w:rPr>
        <w:t>3</w:t>
      </w:r>
      <w:r>
        <w:rPr>
          <w:rFonts w:ascii="宋体" w:hAnsi="宋体" w:cs="宋体" w:hint="eastAsia"/>
          <w:color w:val="000000"/>
          <w:sz w:val="21"/>
          <w:szCs w:val="21"/>
          <w:lang w:bidi="ar"/>
        </w:rPr>
        <w:t>、岸电使用时长系指船舶靠泊期间使用岸电的时长；消耗电量系指船舶靠泊期间所消耗的岸电量。</w:t>
      </w:r>
      <w:r>
        <w:rPr>
          <w:rFonts w:ascii="宋体" w:hAnsi="宋体" w:cs="宋体" w:hint="eastAsia"/>
          <w:color w:val="000000"/>
          <w:sz w:val="21"/>
          <w:szCs w:val="21"/>
          <w:lang w:bidi="ar"/>
        </w:rPr>
        <w:t>4</w:t>
      </w:r>
      <w:r>
        <w:rPr>
          <w:rFonts w:ascii="宋体" w:hAnsi="宋体" w:cs="宋体" w:hint="eastAsia"/>
          <w:color w:val="000000"/>
          <w:sz w:val="21"/>
          <w:szCs w:val="21"/>
          <w:lang w:bidi="ar"/>
        </w:rPr>
        <w:t>、航行距离系指船舶以运输或相关作业为目的，依靠自有动力相对于陆地的实际航行距离，国内航行海船以海里计，内河船舶以公里计。</w:t>
      </w:r>
      <w:r>
        <w:rPr>
          <w:rFonts w:ascii="宋体" w:hAnsi="宋体" w:cs="宋体" w:hint="eastAsia"/>
          <w:color w:val="000000"/>
          <w:sz w:val="21"/>
          <w:szCs w:val="21"/>
          <w:lang w:bidi="ar"/>
        </w:rPr>
        <w:t>5</w:t>
      </w:r>
      <w:r>
        <w:rPr>
          <w:rFonts w:ascii="宋体" w:hAnsi="宋体" w:cs="宋体" w:hint="eastAsia"/>
          <w:color w:val="000000"/>
          <w:sz w:val="21"/>
          <w:szCs w:val="21"/>
          <w:lang w:bidi="ar"/>
        </w:rPr>
        <w:t>、航行时间系指船舶以运输或相关作业为目的，依靠自有动力航行的时间。</w:t>
      </w:r>
      <w:r>
        <w:rPr>
          <w:rFonts w:ascii="宋体" w:hAnsi="宋体" w:cs="宋体" w:hint="eastAsia"/>
          <w:color w:val="000000"/>
          <w:sz w:val="21"/>
          <w:szCs w:val="21"/>
          <w:lang w:bidi="ar"/>
        </w:rPr>
        <w:t>6</w:t>
      </w:r>
      <w:r>
        <w:rPr>
          <w:rFonts w:ascii="宋体" w:hAnsi="宋体" w:cs="宋体" w:hint="eastAsia"/>
          <w:color w:val="000000"/>
          <w:sz w:val="21"/>
          <w:szCs w:val="21"/>
          <w:lang w:bidi="ar"/>
        </w:rPr>
        <w:t>、营运时间系指船舶技术状况完好可以从事运输及相关作业的时间，包括航行时间、停泊时间及其他作业时间；船舶带货修理等仍然从事运输及相关作业的情形应计入营运时间。</w:t>
      </w:r>
      <w:r>
        <w:rPr>
          <w:rFonts w:ascii="宋体" w:hAnsi="宋体" w:cs="宋体" w:hint="eastAsia"/>
          <w:color w:val="000000"/>
          <w:sz w:val="21"/>
          <w:szCs w:val="21"/>
          <w:lang w:bidi="ar"/>
        </w:rPr>
        <w:t>7</w:t>
      </w:r>
      <w:r>
        <w:rPr>
          <w:rFonts w:ascii="宋体" w:hAnsi="宋体" w:cs="宋体" w:hint="eastAsia"/>
          <w:color w:val="000000"/>
          <w:sz w:val="21"/>
          <w:szCs w:val="21"/>
          <w:lang w:bidi="ar"/>
        </w:rPr>
        <w:t>、客货量填写参照以下方法收集：（</w:t>
      </w:r>
      <w:r>
        <w:rPr>
          <w:rFonts w:ascii="宋体" w:hAnsi="宋体" w:cs="宋体" w:hint="eastAsia"/>
          <w:color w:val="000000"/>
          <w:sz w:val="21"/>
          <w:szCs w:val="21"/>
          <w:lang w:bidi="ar"/>
        </w:rPr>
        <w:t>1</w:t>
      </w:r>
      <w:r>
        <w:rPr>
          <w:rFonts w:ascii="宋体" w:hAnsi="宋体" w:cs="宋体" w:hint="eastAsia"/>
          <w:color w:val="000000"/>
          <w:sz w:val="21"/>
          <w:szCs w:val="21"/>
          <w:lang w:bidi="ar"/>
        </w:rPr>
        <w:t>）对于散货船、气体运输船、液货船、杂货船、冷藏船、兼用船、滚装货船（车辆运输船）和滚装货船，为所载货物总质量，单位为吨（</w:t>
      </w:r>
      <w:r>
        <w:rPr>
          <w:rFonts w:ascii="宋体" w:hAnsi="宋体" w:cs="宋体" w:hint="eastAsia"/>
          <w:color w:val="000000"/>
          <w:sz w:val="21"/>
          <w:szCs w:val="21"/>
          <w:lang w:bidi="ar"/>
        </w:rPr>
        <w:t>t</w:t>
      </w:r>
      <w:r>
        <w:rPr>
          <w:rFonts w:ascii="宋体" w:hAnsi="宋体" w:cs="宋体" w:hint="eastAsia"/>
          <w:color w:val="000000"/>
          <w:sz w:val="21"/>
          <w:szCs w:val="21"/>
          <w:lang w:bidi="ar"/>
        </w:rPr>
        <w:t>）；（</w:t>
      </w:r>
      <w:r>
        <w:rPr>
          <w:rFonts w:ascii="宋体" w:hAnsi="宋体" w:cs="宋体" w:hint="eastAsia"/>
          <w:color w:val="000000"/>
          <w:sz w:val="21"/>
          <w:szCs w:val="21"/>
          <w:lang w:bidi="ar"/>
        </w:rPr>
        <w:t>2</w:t>
      </w:r>
      <w:r>
        <w:rPr>
          <w:rFonts w:ascii="宋体" w:hAnsi="宋体" w:cs="宋体" w:hint="eastAsia"/>
          <w:color w:val="000000"/>
          <w:sz w:val="21"/>
          <w:szCs w:val="21"/>
          <w:lang w:bidi="ar"/>
        </w:rPr>
        <w:t>）对于集装箱船，为所载运集装箱标准箱数量（</w:t>
      </w:r>
      <w:r>
        <w:rPr>
          <w:rFonts w:ascii="宋体" w:hAnsi="宋体" w:cs="宋体" w:hint="eastAsia"/>
          <w:color w:val="000000"/>
          <w:sz w:val="21"/>
          <w:szCs w:val="21"/>
          <w:lang w:bidi="ar"/>
        </w:rPr>
        <w:t>TEU</w:t>
      </w:r>
      <w:r>
        <w:rPr>
          <w:rFonts w:ascii="宋体" w:hAnsi="宋体" w:cs="宋体" w:hint="eastAsia"/>
          <w:color w:val="000000"/>
          <w:sz w:val="21"/>
          <w:szCs w:val="21"/>
          <w:lang w:bidi="ar"/>
        </w:rPr>
        <w:t>）；（</w:t>
      </w:r>
      <w:r>
        <w:rPr>
          <w:rFonts w:ascii="宋体" w:hAnsi="宋体" w:cs="宋体" w:hint="eastAsia"/>
          <w:color w:val="000000"/>
          <w:sz w:val="21"/>
          <w:szCs w:val="21"/>
          <w:lang w:bidi="ar"/>
        </w:rPr>
        <w:t>3</w:t>
      </w:r>
      <w:r>
        <w:rPr>
          <w:rFonts w:ascii="宋体" w:hAnsi="宋体" w:cs="宋体" w:hint="eastAsia"/>
          <w:color w:val="000000"/>
          <w:sz w:val="21"/>
          <w:szCs w:val="21"/>
          <w:lang w:bidi="ar"/>
        </w:rPr>
        <w:t>）对于混装集装箱及其它货物的船舶，为所载运集装箱质量与其他货物质量的总和，单位为吨（</w:t>
      </w:r>
      <w:r>
        <w:rPr>
          <w:rFonts w:ascii="宋体" w:hAnsi="宋体" w:cs="宋体" w:hint="eastAsia"/>
          <w:color w:val="000000"/>
          <w:sz w:val="21"/>
          <w:szCs w:val="21"/>
          <w:lang w:bidi="ar"/>
        </w:rPr>
        <w:t>t</w:t>
      </w:r>
      <w:r>
        <w:rPr>
          <w:rFonts w:ascii="宋体" w:hAnsi="宋体" w:cs="宋体" w:hint="eastAsia"/>
          <w:color w:val="000000"/>
          <w:sz w:val="21"/>
          <w:szCs w:val="21"/>
          <w:lang w:bidi="ar"/>
        </w:rPr>
        <w:t>）。（</w:t>
      </w:r>
      <w:r>
        <w:rPr>
          <w:rFonts w:ascii="宋体" w:hAnsi="宋体" w:cs="宋体" w:hint="eastAsia"/>
          <w:color w:val="000000"/>
          <w:sz w:val="21"/>
          <w:szCs w:val="21"/>
          <w:lang w:bidi="ar"/>
        </w:rPr>
        <w:t>4</w:t>
      </w:r>
      <w:r>
        <w:rPr>
          <w:rFonts w:ascii="宋体" w:hAnsi="宋体" w:cs="宋体" w:hint="eastAsia"/>
          <w:color w:val="000000"/>
          <w:sz w:val="21"/>
          <w:szCs w:val="21"/>
          <w:lang w:bidi="ar"/>
        </w:rPr>
        <w:t>）对于客船（包括客滚船），为实际乘客数量（人），实际乘客数量难以统计时以额定载客人数代替；（</w:t>
      </w:r>
      <w:r>
        <w:rPr>
          <w:rFonts w:ascii="宋体" w:hAnsi="宋体" w:cs="宋体" w:hint="eastAsia"/>
          <w:color w:val="000000"/>
          <w:sz w:val="21"/>
          <w:szCs w:val="21"/>
          <w:lang w:bidi="ar"/>
        </w:rPr>
        <w:t>5</w:t>
      </w:r>
      <w:r>
        <w:rPr>
          <w:rFonts w:ascii="宋体" w:hAnsi="宋体" w:cs="宋体" w:hint="eastAsia"/>
          <w:color w:val="000000"/>
          <w:sz w:val="21"/>
          <w:szCs w:val="21"/>
          <w:lang w:bidi="ar"/>
        </w:rPr>
        <w:t>）在无法获得</w:t>
      </w:r>
      <w:proofErr w:type="gramStart"/>
      <w:r>
        <w:rPr>
          <w:rFonts w:ascii="宋体" w:hAnsi="宋体" w:cs="宋体" w:hint="eastAsia"/>
          <w:color w:val="000000"/>
          <w:sz w:val="21"/>
          <w:szCs w:val="21"/>
          <w:lang w:bidi="ar"/>
        </w:rPr>
        <w:t>箱货实际</w:t>
      </w:r>
      <w:proofErr w:type="gramEnd"/>
      <w:r>
        <w:rPr>
          <w:rFonts w:ascii="宋体" w:hAnsi="宋体" w:cs="宋体" w:hint="eastAsia"/>
          <w:color w:val="000000"/>
          <w:sz w:val="21"/>
          <w:szCs w:val="21"/>
          <w:lang w:bidi="ar"/>
        </w:rPr>
        <w:t>质量的情况下，一个重载标准箱（</w:t>
      </w:r>
      <w:r>
        <w:rPr>
          <w:rFonts w:ascii="宋体" w:hAnsi="宋体" w:cs="宋体" w:hint="eastAsia"/>
          <w:color w:val="000000"/>
          <w:sz w:val="21"/>
          <w:szCs w:val="21"/>
          <w:lang w:bidi="ar"/>
        </w:rPr>
        <w:t>TEU</w:t>
      </w:r>
      <w:r>
        <w:rPr>
          <w:rFonts w:ascii="宋体" w:hAnsi="宋体" w:cs="宋体" w:hint="eastAsia"/>
          <w:color w:val="000000"/>
          <w:sz w:val="21"/>
          <w:szCs w:val="21"/>
          <w:lang w:bidi="ar"/>
        </w:rPr>
        <w:t>）可按</w:t>
      </w:r>
      <w:r>
        <w:rPr>
          <w:rFonts w:ascii="宋体" w:hAnsi="宋体" w:cs="宋体" w:hint="eastAsia"/>
          <w:color w:val="000000"/>
          <w:sz w:val="21"/>
          <w:szCs w:val="21"/>
          <w:lang w:bidi="ar"/>
        </w:rPr>
        <w:t xml:space="preserve"> 10t </w:t>
      </w:r>
      <w:r>
        <w:rPr>
          <w:rFonts w:ascii="宋体" w:hAnsi="宋体" w:cs="宋体" w:hint="eastAsia"/>
          <w:color w:val="000000"/>
          <w:sz w:val="21"/>
          <w:szCs w:val="21"/>
          <w:lang w:bidi="ar"/>
        </w:rPr>
        <w:t>折算，</w:t>
      </w:r>
      <w:r>
        <w:rPr>
          <w:rFonts w:ascii="宋体" w:hAnsi="宋体" w:cs="宋体" w:hint="eastAsia"/>
          <w:color w:val="000000"/>
          <w:sz w:val="21"/>
          <w:szCs w:val="21"/>
          <w:lang w:bidi="ar"/>
        </w:rPr>
        <w:t xml:space="preserve"> </w:t>
      </w:r>
      <w:r>
        <w:rPr>
          <w:rFonts w:ascii="宋体" w:hAnsi="宋体" w:cs="宋体" w:hint="eastAsia"/>
          <w:color w:val="000000"/>
          <w:sz w:val="21"/>
          <w:szCs w:val="21"/>
          <w:lang w:bidi="ar"/>
        </w:rPr>
        <w:t>一个空载</w:t>
      </w:r>
      <w:r>
        <w:rPr>
          <w:rFonts w:ascii="宋体" w:hAnsi="宋体" w:cs="宋体" w:hint="eastAsia"/>
          <w:color w:val="000000"/>
          <w:sz w:val="21"/>
          <w:szCs w:val="21"/>
          <w:lang w:bidi="ar"/>
        </w:rPr>
        <w:t xml:space="preserve"> TEU </w:t>
      </w:r>
      <w:r>
        <w:rPr>
          <w:rFonts w:ascii="宋体" w:hAnsi="宋体" w:cs="宋体" w:hint="eastAsia"/>
          <w:color w:val="000000"/>
          <w:sz w:val="21"/>
          <w:szCs w:val="21"/>
          <w:lang w:bidi="ar"/>
        </w:rPr>
        <w:t>可按</w:t>
      </w:r>
      <w:r>
        <w:rPr>
          <w:rFonts w:ascii="宋体" w:hAnsi="宋体" w:cs="宋体" w:hint="eastAsia"/>
          <w:color w:val="000000"/>
          <w:sz w:val="21"/>
          <w:szCs w:val="21"/>
          <w:lang w:bidi="ar"/>
        </w:rPr>
        <w:t xml:space="preserve"> 2t </w:t>
      </w:r>
      <w:r>
        <w:rPr>
          <w:rFonts w:ascii="宋体" w:hAnsi="宋体" w:cs="宋体" w:hint="eastAsia"/>
          <w:color w:val="000000"/>
          <w:sz w:val="21"/>
          <w:szCs w:val="21"/>
          <w:lang w:bidi="ar"/>
        </w:rPr>
        <w:t>折算。</w:t>
      </w:r>
    </w:p>
    <w:p w:rsidR="005D73B5" w:rsidRDefault="005D73B5">
      <w:pPr>
        <w:ind w:firstLineChars="200" w:firstLine="632"/>
        <w:rPr>
          <w:rFonts w:ascii="仿宋_GB2312" w:hAnsi="仿宋_GB2312"/>
          <w:color w:val="000000"/>
        </w:rPr>
      </w:pPr>
    </w:p>
    <w:p w:rsidR="005D73B5" w:rsidRDefault="005D73B5">
      <w:pPr>
        <w:ind w:rightChars="263" w:right="831"/>
        <w:jc w:val="right"/>
        <w:rPr>
          <w:rFonts w:ascii="仿宋_GB2312" w:hAnsi="仿宋_GB2312"/>
          <w:color w:val="000000"/>
          <w:szCs w:val="28"/>
        </w:rPr>
      </w:pPr>
    </w:p>
    <w:p w:rsidR="005D73B5" w:rsidRDefault="002714B2">
      <w:pPr>
        <w:jc w:val="center"/>
        <w:rPr>
          <w:rFonts w:ascii="方正小标宋_GBK" w:eastAsia="方正小标宋_GBK" w:hAnsi="宋体"/>
          <w:sz w:val="36"/>
          <w:szCs w:val="36"/>
        </w:rPr>
      </w:pPr>
      <w:r>
        <w:rPr>
          <w:rFonts w:ascii="方正小标宋_GBK" w:eastAsia="方正小标宋_GBK" w:hAnsi="宋体" w:hint="eastAsia"/>
          <w:sz w:val="36"/>
          <w:szCs w:val="36"/>
        </w:rPr>
        <w:t>船舶能耗数据收集记录表（每日记录）</w:t>
      </w:r>
    </w:p>
    <w:p w:rsidR="005D73B5" w:rsidRDefault="005D73B5">
      <w:pPr>
        <w:rPr>
          <w:rFonts w:ascii="仿宋_GB2312" w:hAnsi="仿宋_GB2312"/>
          <w:color w:val="000000"/>
          <w:sz w:val="21"/>
          <w:szCs w:val="21"/>
        </w:rPr>
      </w:pPr>
    </w:p>
    <w:p w:rsidR="005D73B5" w:rsidRDefault="002714B2">
      <w:pPr>
        <w:rPr>
          <w:rFonts w:ascii="仿宋_GB2312" w:hAnsi="仿宋_GB2312"/>
          <w:b/>
          <w:bCs/>
          <w:color w:val="000000"/>
          <w:sz w:val="24"/>
          <w:szCs w:val="24"/>
        </w:rPr>
      </w:pPr>
      <w:r>
        <w:rPr>
          <w:rFonts w:ascii="仿宋_GB2312" w:hAnsi="仿宋_GB2312" w:hint="eastAsia"/>
          <w:b/>
          <w:bCs/>
          <w:color w:val="000000"/>
          <w:sz w:val="24"/>
          <w:szCs w:val="24"/>
        </w:rPr>
        <w:t xml:space="preserve">船名：         船舶识别号：          主机额定功率（kW）：            辅机额定功率（kW）：            锅炉额定功率（kW）：        </w:t>
      </w:r>
    </w:p>
    <w:p w:rsidR="005D73B5" w:rsidRDefault="002714B2" w:rsidP="00506B6D">
      <w:pPr>
        <w:adjustRightInd w:val="0"/>
        <w:ind w:left="1658" w:hangingChars="700" w:hanging="1658"/>
        <w:rPr>
          <w:rFonts w:ascii="仿宋_GB2312" w:hAnsi="仿宋_GB2312"/>
          <w:color w:val="000000"/>
          <w:sz w:val="24"/>
          <w:szCs w:val="24"/>
        </w:rPr>
      </w:pPr>
      <w:r>
        <w:rPr>
          <w:rFonts w:ascii="仿宋_GB2312" w:hAnsi="仿宋_GB2312" w:hint="eastAsia"/>
          <w:b/>
          <w:bCs/>
          <w:color w:val="000000"/>
          <w:sz w:val="24"/>
          <w:szCs w:val="24"/>
        </w:rPr>
        <w:t>船用燃料种类：</w:t>
      </w:r>
      <w:r>
        <w:rPr>
          <w:rFonts w:ascii="仿宋_GB2312" w:hAnsi="仿宋_GB2312" w:hint="eastAsia"/>
          <w:color w:val="000000"/>
          <w:sz w:val="24"/>
          <w:szCs w:val="24"/>
        </w:rPr>
        <w:t xml:space="preserve"> A. 重（质）燃（料）油（HFO）  B.轻（质）燃（料）油（LFO）  C.船用重柴油（MDO）  D.船用轻柴油（MGO） E.内河</w:t>
      </w:r>
      <w:r>
        <w:rPr>
          <w:rFonts w:ascii="仿宋_GB2312" w:hAnsi="宋体" w:hint="eastAsia"/>
          <w:sz w:val="24"/>
          <w:szCs w:val="24"/>
        </w:rPr>
        <w:t>船用燃料油</w:t>
      </w:r>
      <w:r>
        <w:rPr>
          <w:rFonts w:ascii="仿宋_GB2312" w:hAnsi="仿宋_GB2312" w:hint="eastAsia"/>
          <w:color w:val="000000"/>
          <w:sz w:val="24"/>
          <w:szCs w:val="24"/>
        </w:rPr>
        <w:t xml:space="preserve">  F. 丙烷  G.丁烷  H.液化天然气（LPG） </w:t>
      </w:r>
      <w:r>
        <w:rPr>
          <w:rFonts w:ascii="仿宋_GB2312" w:hAnsi="仿宋_GB2312"/>
          <w:color w:val="000000"/>
          <w:sz w:val="24"/>
          <w:szCs w:val="24"/>
        </w:rPr>
        <w:t xml:space="preserve"> </w:t>
      </w:r>
      <w:r>
        <w:rPr>
          <w:rFonts w:ascii="仿宋_GB2312" w:hAnsi="仿宋_GB2312" w:hint="eastAsia"/>
          <w:color w:val="000000"/>
          <w:sz w:val="24"/>
          <w:szCs w:val="24"/>
        </w:rPr>
        <w:t xml:space="preserve">I.甲醇 </w:t>
      </w:r>
      <w:r>
        <w:rPr>
          <w:rFonts w:ascii="仿宋_GB2312" w:hAnsi="仿宋_GB2312"/>
          <w:color w:val="000000"/>
          <w:sz w:val="24"/>
          <w:szCs w:val="24"/>
        </w:rPr>
        <w:t xml:space="preserve"> </w:t>
      </w:r>
      <w:r>
        <w:rPr>
          <w:rFonts w:ascii="仿宋_GB2312" w:hAnsi="仿宋_GB2312" w:hint="eastAsia"/>
          <w:color w:val="000000"/>
          <w:sz w:val="24"/>
          <w:szCs w:val="24"/>
        </w:rPr>
        <w:t xml:space="preserve">J.乙醇  K.氨  L.氢  </w:t>
      </w:r>
      <w:r>
        <w:rPr>
          <w:rFonts w:ascii="仿宋_GB2312" w:hAnsi="宋体" w:hint="eastAsia"/>
          <w:sz w:val="24"/>
          <w:szCs w:val="24"/>
        </w:rPr>
        <w:t xml:space="preserve">M.电能 </w:t>
      </w:r>
      <w:r>
        <w:rPr>
          <w:rFonts w:ascii="仿宋_GB2312" w:hAnsi="仿宋_GB2312" w:hint="eastAsia"/>
          <w:color w:val="000000"/>
          <w:sz w:val="24"/>
          <w:szCs w:val="24"/>
        </w:rPr>
        <w:t xml:space="preserve"> </w:t>
      </w:r>
      <w:r>
        <w:rPr>
          <w:rFonts w:ascii="仿宋_GB2312" w:hAnsi="仿宋_GB2312"/>
          <w:color w:val="000000"/>
          <w:sz w:val="24"/>
          <w:szCs w:val="24"/>
        </w:rPr>
        <w:t>N</w:t>
      </w:r>
      <w:r>
        <w:rPr>
          <w:rFonts w:ascii="仿宋_GB2312" w:hAnsi="仿宋_GB2312" w:hint="eastAsia"/>
          <w:color w:val="000000"/>
          <w:sz w:val="24"/>
          <w:szCs w:val="24"/>
        </w:rPr>
        <w:t>.其他</w:t>
      </w:r>
      <w:r>
        <w:rPr>
          <w:rFonts w:ascii="仿宋_GB2312" w:hAnsi="仿宋_GB2312" w:hint="eastAsia"/>
          <w:color w:val="000000"/>
          <w:sz w:val="24"/>
          <w:szCs w:val="24"/>
          <w:u w:val="single"/>
        </w:rPr>
        <w:t xml:space="preserve">         </w:t>
      </w:r>
      <w:r>
        <w:rPr>
          <w:rFonts w:ascii="仿宋_GB2312" w:hAnsi="仿宋_GB2312" w:hint="eastAsia"/>
          <w:color w:val="000000"/>
          <w:sz w:val="24"/>
          <w:szCs w:val="24"/>
        </w:rPr>
        <w:t xml:space="preserve">      </w:t>
      </w:r>
    </w:p>
    <w:p w:rsidR="005D73B5" w:rsidRDefault="002714B2">
      <w:pPr>
        <w:rPr>
          <w:rFonts w:ascii="仿宋_GB2312" w:hAnsi="仿宋_GB2312"/>
          <w:color w:val="000000"/>
          <w:sz w:val="24"/>
          <w:szCs w:val="24"/>
        </w:rPr>
      </w:pPr>
      <w:r>
        <w:rPr>
          <w:rFonts w:ascii="仿宋_GB2312" w:hAnsi="仿宋_GB2312" w:hint="eastAsia"/>
          <w:b/>
          <w:bCs/>
          <w:color w:val="000000"/>
          <w:sz w:val="24"/>
          <w:szCs w:val="24"/>
        </w:rPr>
        <w:t>船用燃料消耗收集方法：</w:t>
      </w:r>
      <w:r>
        <w:rPr>
          <w:rFonts w:ascii="仿宋_GB2312" w:hAnsi="仿宋_GB2312" w:hint="eastAsia"/>
          <w:color w:val="000000"/>
          <w:sz w:val="24"/>
          <w:szCs w:val="24"/>
        </w:rPr>
        <w:t xml:space="preserve"> </w:t>
      </w:r>
      <w:proofErr w:type="gramStart"/>
      <w:r>
        <w:rPr>
          <w:rFonts w:ascii="仿宋_GB2312" w:hAnsi="仿宋_GB2312" w:hint="eastAsia"/>
          <w:color w:val="000000"/>
          <w:sz w:val="24"/>
          <w:szCs w:val="24"/>
        </w:rPr>
        <w:t>A. 燃油舱测量法； B. 加油签收单（BDNs）加总法；C.</w:t>
      </w:r>
      <w:proofErr w:type="gramEnd"/>
      <w:r>
        <w:rPr>
          <w:rFonts w:ascii="仿宋_GB2312" w:hAnsi="仿宋_GB2312" w:hint="eastAsia"/>
          <w:color w:val="000000"/>
          <w:sz w:val="24"/>
          <w:szCs w:val="24"/>
        </w:rPr>
        <w:t xml:space="preserve">  燃油消耗流量计法。 </w:t>
      </w:r>
    </w:p>
    <w:p w:rsidR="005D73B5" w:rsidRDefault="005D73B5">
      <w:pPr>
        <w:rPr>
          <w:rFonts w:ascii="仿宋_GB2312" w:hAnsi="仿宋_GB2312"/>
          <w:color w:val="000000"/>
          <w:sz w:val="21"/>
          <w:szCs w:val="21"/>
        </w:rPr>
      </w:pPr>
    </w:p>
    <w:tbl>
      <w:tblPr>
        <w:tblStyle w:val="a6"/>
        <w:tblpPr w:leftFromText="180" w:rightFromText="180" w:vertAnchor="text" w:horzAnchor="page" w:tblpXSpec="center" w:tblpY="8"/>
        <w:tblOverlap w:val="never"/>
        <w:tblW w:w="0" w:type="auto"/>
        <w:tblLook w:val="04A0" w:firstRow="1" w:lastRow="0" w:firstColumn="1" w:lastColumn="0" w:noHBand="0" w:noVBand="1"/>
      </w:tblPr>
      <w:tblGrid>
        <w:gridCol w:w="1117"/>
        <w:gridCol w:w="585"/>
        <w:gridCol w:w="565"/>
        <w:gridCol w:w="491"/>
        <w:gridCol w:w="689"/>
        <w:gridCol w:w="565"/>
        <w:gridCol w:w="491"/>
        <w:gridCol w:w="689"/>
        <w:gridCol w:w="1052"/>
        <w:gridCol w:w="1155"/>
        <w:gridCol w:w="1101"/>
        <w:gridCol w:w="1101"/>
        <w:gridCol w:w="928"/>
        <w:gridCol w:w="1257"/>
        <w:gridCol w:w="1239"/>
        <w:gridCol w:w="1129"/>
        <w:gridCol w:w="668"/>
        <w:gridCol w:w="792"/>
      </w:tblGrid>
      <w:tr w:rsidR="005D73B5">
        <w:tc>
          <w:tcPr>
            <w:tcW w:w="0" w:type="auto"/>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能耗数据收集</w:t>
            </w:r>
          </w:p>
        </w:tc>
        <w:tc>
          <w:tcPr>
            <w:tcW w:w="0" w:type="auto"/>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港口</w:t>
            </w:r>
          </w:p>
        </w:tc>
        <w:tc>
          <w:tcPr>
            <w:tcW w:w="0" w:type="auto"/>
            <w:gridSpan w:val="6"/>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燃料消耗</w:t>
            </w:r>
            <w:r>
              <w:rPr>
                <w:sz w:val="24"/>
              </w:rPr>
              <w:t>*</w:t>
            </w:r>
          </w:p>
        </w:tc>
        <w:tc>
          <w:tcPr>
            <w:tcW w:w="0" w:type="auto"/>
            <w:gridSpan w:val="2"/>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岸电使用</w:t>
            </w:r>
            <w:r>
              <w:rPr>
                <w:sz w:val="24"/>
              </w:rPr>
              <w:t>*</w:t>
            </w:r>
          </w:p>
        </w:tc>
        <w:tc>
          <w:tcPr>
            <w:tcW w:w="0" w:type="auto"/>
            <w:gridSpan w:val="2"/>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时间</w:t>
            </w:r>
          </w:p>
        </w:tc>
        <w:tc>
          <w:tcPr>
            <w:tcW w:w="928" w:type="dxa"/>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航段</w:t>
            </w:r>
            <w:r>
              <w:rPr>
                <w:sz w:val="24"/>
              </w:rPr>
              <w:t>*</w:t>
            </w:r>
          </w:p>
        </w:tc>
        <w:tc>
          <w:tcPr>
            <w:tcW w:w="1257" w:type="dxa"/>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距离</w:t>
            </w:r>
          </w:p>
        </w:tc>
        <w:tc>
          <w:tcPr>
            <w:tcW w:w="2996" w:type="dxa"/>
            <w:gridSpan w:val="3"/>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客货量</w:t>
            </w:r>
            <w:r>
              <w:rPr>
                <w:sz w:val="24"/>
              </w:rPr>
              <w:t>*</w:t>
            </w:r>
          </w:p>
        </w:tc>
        <w:tc>
          <w:tcPr>
            <w:tcW w:w="792" w:type="dxa"/>
            <w:vAlign w:val="center"/>
          </w:tcPr>
          <w:p w:rsidR="005D73B5" w:rsidRDefault="002714B2">
            <w:pPr>
              <w:jc w:val="center"/>
              <w:rPr>
                <w:rFonts w:ascii="仿宋_GB2312" w:hAnsi="仿宋_GB2312"/>
                <w:color w:val="000000"/>
                <w:sz w:val="24"/>
                <w:szCs w:val="24"/>
              </w:rPr>
            </w:pPr>
            <w:r>
              <w:rPr>
                <w:rFonts w:ascii="仿宋_GB2312" w:hAnsi="仿宋_GB2312" w:hint="eastAsia"/>
                <w:color w:val="000000"/>
                <w:sz w:val="24"/>
                <w:szCs w:val="24"/>
              </w:rPr>
              <w:t>收集人</w:t>
            </w:r>
          </w:p>
        </w:tc>
      </w:tr>
      <w:tr w:rsidR="005D73B5">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日期/时间</w:t>
            </w:r>
          </w:p>
        </w:tc>
        <w:tc>
          <w:tcPr>
            <w:tcW w:w="0" w:type="auto"/>
          </w:tcPr>
          <w:p w:rsidR="005D73B5" w:rsidRDefault="005D73B5">
            <w:pPr>
              <w:rPr>
                <w:rFonts w:ascii="仿宋_GB2312" w:hAnsi="仿宋_GB2312"/>
                <w:color w:val="000000"/>
                <w:sz w:val="18"/>
                <w:szCs w:val="18"/>
              </w:rPr>
            </w:pP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种类1</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数量</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收集方法</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种类2</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数量</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收集方法</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使用时长（h）</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消耗电量（kW</w:t>
            </w:r>
            <w:r>
              <w:rPr>
                <w:rFonts w:ascii="微软雅黑" w:eastAsia="微软雅黑" w:hAnsi="微软雅黑" w:cs="微软雅黑" w:hint="eastAsia"/>
                <w:color w:val="000000"/>
                <w:sz w:val="18"/>
                <w:szCs w:val="18"/>
              </w:rPr>
              <w:t>•</w:t>
            </w:r>
            <w:r>
              <w:rPr>
                <w:rFonts w:ascii="仿宋_GB2312" w:hAnsi="仿宋_GB2312" w:hint="eastAsia"/>
                <w:color w:val="000000"/>
                <w:sz w:val="18"/>
                <w:szCs w:val="18"/>
              </w:rPr>
              <w:t>h）</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航行时间*（h）</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营运时间*（h）</w:t>
            </w:r>
          </w:p>
        </w:tc>
        <w:tc>
          <w:tcPr>
            <w:tcW w:w="928" w:type="dxa"/>
          </w:tcPr>
          <w:p w:rsidR="005D73B5" w:rsidRDefault="005D73B5">
            <w:pPr>
              <w:rPr>
                <w:rFonts w:ascii="仿宋_GB2312" w:hAnsi="仿宋_GB2312"/>
                <w:color w:val="000000"/>
                <w:sz w:val="18"/>
                <w:szCs w:val="18"/>
              </w:rPr>
            </w:pPr>
          </w:p>
        </w:tc>
        <w:tc>
          <w:tcPr>
            <w:tcW w:w="1257"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航行距离*（海里或公里）</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货物总质量（吨）</w:t>
            </w:r>
          </w:p>
        </w:tc>
        <w:tc>
          <w:tcPr>
            <w:tcW w:w="0" w:type="auto"/>
          </w:tcPr>
          <w:p w:rsidR="005D73B5" w:rsidRDefault="002714B2">
            <w:pPr>
              <w:rPr>
                <w:rFonts w:ascii="仿宋_GB2312" w:hAnsi="仿宋_GB2312"/>
                <w:color w:val="000000"/>
                <w:sz w:val="18"/>
                <w:szCs w:val="18"/>
              </w:rPr>
            </w:pPr>
            <w:r>
              <w:rPr>
                <w:rFonts w:ascii="仿宋_GB2312" w:hAnsi="仿宋_GB2312" w:hint="eastAsia"/>
                <w:color w:val="000000"/>
                <w:sz w:val="18"/>
                <w:szCs w:val="18"/>
              </w:rPr>
              <w:t>集装箱（TEU）</w:t>
            </w:r>
          </w:p>
        </w:tc>
        <w:tc>
          <w:tcPr>
            <w:tcW w:w="66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载客(人)</w:t>
            </w:r>
          </w:p>
        </w:tc>
        <w:tc>
          <w:tcPr>
            <w:tcW w:w="792" w:type="dxa"/>
          </w:tcPr>
          <w:p w:rsidR="005D73B5" w:rsidRDefault="005D73B5">
            <w:pPr>
              <w:rPr>
                <w:rFonts w:ascii="仿宋_GB2312" w:hAnsi="仿宋_GB2312"/>
                <w:color w:val="000000"/>
                <w:sz w:val="18"/>
                <w:szCs w:val="18"/>
              </w:rPr>
            </w:pPr>
          </w:p>
        </w:tc>
      </w:tr>
      <w:tr w:rsidR="005D73B5">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92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航段1</w:t>
            </w:r>
          </w:p>
        </w:tc>
        <w:tc>
          <w:tcPr>
            <w:tcW w:w="1257" w:type="dxa"/>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668" w:type="dxa"/>
          </w:tcPr>
          <w:p w:rsidR="005D73B5" w:rsidRDefault="005D73B5">
            <w:pPr>
              <w:rPr>
                <w:rFonts w:ascii="仿宋_GB2312" w:hAnsi="仿宋_GB2312"/>
                <w:color w:val="000000"/>
                <w:sz w:val="18"/>
                <w:szCs w:val="18"/>
              </w:rPr>
            </w:pPr>
          </w:p>
        </w:tc>
        <w:tc>
          <w:tcPr>
            <w:tcW w:w="792" w:type="dxa"/>
            <w:vMerge w:val="restart"/>
          </w:tcPr>
          <w:p w:rsidR="005D73B5" w:rsidRDefault="005D73B5">
            <w:pPr>
              <w:rPr>
                <w:rFonts w:ascii="仿宋_GB2312" w:hAnsi="仿宋_GB2312"/>
                <w:color w:val="000000"/>
                <w:sz w:val="18"/>
                <w:szCs w:val="18"/>
              </w:rPr>
            </w:pPr>
          </w:p>
        </w:tc>
      </w:tr>
      <w:tr w:rsidR="005D73B5">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92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航段2</w:t>
            </w:r>
          </w:p>
        </w:tc>
        <w:tc>
          <w:tcPr>
            <w:tcW w:w="1257" w:type="dxa"/>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668" w:type="dxa"/>
          </w:tcPr>
          <w:p w:rsidR="005D73B5" w:rsidRDefault="005D73B5">
            <w:pPr>
              <w:rPr>
                <w:rFonts w:ascii="仿宋_GB2312" w:hAnsi="仿宋_GB2312"/>
                <w:color w:val="000000"/>
                <w:sz w:val="18"/>
                <w:szCs w:val="18"/>
              </w:rPr>
            </w:pPr>
          </w:p>
        </w:tc>
        <w:tc>
          <w:tcPr>
            <w:tcW w:w="792" w:type="dxa"/>
            <w:vMerge/>
          </w:tcPr>
          <w:p w:rsidR="005D73B5" w:rsidRDefault="005D73B5">
            <w:pPr>
              <w:rPr>
                <w:rFonts w:ascii="仿宋_GB2312" w:hAnsi="仿宋_GB2312"/>
                <w:color w:val="000000"/>
                <w:sz w:val="18"/>
                <w:szCs w:val="18"/>
              </w:rPr>
            </w:pPr>
          </w:p>
        </w:tc>
      </w:tr>
      <w:tr w:rsidR="005D73B5">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0" w:type="auto"/>
            <w:vMerge/>
          </w:tcPr>
          <w:p w:rsidR="005D73B5" w:rsidRDefault="005D73B5">
            <w:pPr>
              <w:rPr>
                <w:rFonts w:ascii="仿宋_GB2312" w:hAnsi="仿宋_GB2312"/>
                <w:color w:val="000000"/>
                <w:sz w:val="18"/>
                <w:szCs w:val="18"/>
              </w:rPr>
            </w:pPr>
          </w:p>
        </w:tc>
        <w:tc>
          <w:tcPr>
            <w:tcW w:w="92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w:t>
            </w:r>
          </w:p>
        </w:tc>
        <w:tc>
          <w:tcPr>
            <w:tcW w:w="1257" w:type="dxa"/>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668" w:type="dxa"/>
          </w:tcPr>
          <w:p w:rsidR="005D73B5" w:rsidRDefault="005D73B5">
            <w:pPr>
              <w:rPr>
                <w:rFonts w:ascii="仿宋_GB2312" w:hAnsi="仿宋_GB2312"/>
                <w:color w:val="000000"/>
                <w:sz w:val="18"/>
                <w:szCs w:val="18"/>
              </w:rPr>
            </w:pPr>
          </w:p>
        </w:tc>
        <w:tc>
          <w:tcPr>
            <w:tcW w:w="792" w:type="dxa"/>
            <w:vMerge/>
          </w:tcPr>
          <w:p w:rsidR="005D73B5" w:rsidRDefault="005D73B5">
            <w:pPr>
              <w:rPr>
                <w:rFonts w:ascii="仿宋_GB2312" w:hAnsi="仿宋_GB2312"/>
                <w:color w:val="000000"/>
                <w:sz w:val="18"/>
                <w:szCs w:val="18"/>
              </w:rPr>
            </w:pPr>
          </w:p>
        </w:tc>
      </w:tr>
      <w:tr w:rsidR="005D73B5">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0" w:type="auto"/>
            <w:vMerge w:val="restart"/>
          </w:tcPr>
          <w:p w:rsidR="005D73B5" w:rsidRDefault="005D73B5">
            <w:pPr>
              <w:rPr>
                <w:rFonts w:ascii="仿宋_GB2312" w:hAnsi="仿宋_GB2312"/>
                <w:color w:val="000000"/>
                <w:sz w:val="18"/>
                <w:szCs w:val="18"/>
              </w:rPr>
            </w:pPr>
          </w:p>
        </w:tc>
        <w:tc>
          <w:tcPr>
            <w:tcW w:w="92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航段1</w:t>
            </w:r>
          </w:p>
        </w:tc>
        <w:tc>
          <w:tcPr>
            <w:tcW w:w="1257" w:type="dxa"/>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0" w:type="auto"/>
          </w:tcPr>
          <w:p w:rsidR="005D73B5" w:rsidRDefault="005D73B5">
            <w:pPr>
              <w:rPr>
                <w:rFonts w:ascii="仿宋_GB2312" w:hAnsi="仿宋_GB2312"/>
                <w:color w:val="000000"/>
                <w:sz w:val="18"/>
                <w:szCs w:val="18"/>
              </w:rPr>
            </w:pPr>
          </w:p>
        </w:tc>
        <w:tc>
          <w:tcPr>
            <w:tcW w:w="668" w:type="dxa"/>
          </w:tcPr>
          <w:p w:rsidR="005D73B5" w:rsidRDefault="005D73B5">
            <w:pPr>
              <w:rPr>
                <w:rFonts w:ascii="仿宋_GB2312" w:hAnsi="仿宋_GB2312"/>
                <w:color w:val="000000"/>
                <w:sz w:val="18"/>
                <w:szCs w:val="18"/>
              </w:rPr>
            </w:pPr>
          </w:p>
        </w:tc>
        <w:tc>
          <w:tcPr>
            <w:tcW w:w="792" w:type="dxa"/>
            <w:vMerge w:val="restart"/>
          </w:tcPr>
          <w:p w:rsidR="005D73B5" w:rsidRDefault="005D73B5">
            <w:pPr>
              <w:rPr>
                <w:rFonts w:ascii="仿宋_GB2312" w:hAnsi="仿宋_GB2312"/>
                <w:color w:val="000000"/>
                <w:sz w:val="18"/>
                <w:szCs w:val="18"/>
              </w:rPr>
            </w:pPr>
          </w:p>
        </w:tc>
      </w:tr>
      <w:tr w:rsidR="005D73B5">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928" w:type="dxa"/>
          </w:tcPr>
          <w:p w:rsidR="005D73B5" w:rsidRDefault="002714B2">
            <w:pPr>
              <w:rPr>
                <w:rFonts w:ascii="仿宋_GB2312" w:hAnsi="仿宋_GB2312"/>
                <w:color w:val="000000"/>
                <w:sz w:val="18"/>
                <w:szCs w:val="18"/>
              </w:rPr>
            </w:pPr>
            <w:r>
              <w:rPr>
                <w:rFonts w:ascii="仿宋_GB2312" w:hAnsi="仿宋_GB2312" w:hint="eastAsia"/>
                <w:color w:val="000000"/>
                <w:sz w:val="18"/>
                <w:szCs w:val="18"/>
              </w:rPr>
              <w:t>航段2</w:t>
            </w:r>
          </w:p>
        </w:tc>
        <w:tc>
          <w:tcPr>
            <w:tcW w:w="1257" w:type="dxa"/>
          </w:tcPr>
          <w:p w:rsidR="005D73B5" w:rsidRDefault="005D73B5">
            <w:pPr>
              <w:rPr>
                <w:rFonts w:ascii="仿宋_GB2312" w:hAnsi="仿宋_GB2312"/>
                <w:color w:val="000000"/>
                <w:sz w:val="21"/>
                <w:szCs w:val="21"/>
              </w:rPr>
            </w:pPr>
          </w:p>
        </w:tc>
        <w:tc>
          <w:tcPr>
            <w:tcW w:w="0" w:type="auto"/>
          </w:tcPr>
          <w:p w:rsidR="005D73B5" w:rsidRDefault="005D73B5">
            <w:pPr>
              <w:rPr>
                <w:rFonts w:ascii="仿宋_GB2312" w:hAnsi="仿宋_GB2312"/>
                <w:color w:val="000000"/>
                <w:sz w:val="21"/>
                <w:szCs w:val="21"/>
              </w:rPr>
            </w:pPr>
          </w:p>
        </w:tc>
        <w:tc>
          <w:tcPr>
            <w:tcW w:w="0" w:type="auto"/>
          </w:tcPr>
          <w:p w:rsidR="005D73B5" w:rsidRDefault="005D73B5">
            <w:pPr>
              <w:rPr>
                <w:rFonts w:ascii="仿宋_GB2312" w:hAnsi="仿宋_GB2312"/>
                <w:color w:val="000000"/>
                <w:sz w:val="21"/>
                <w:szCs w:val="21"/>
              </w:rPr>
            </w:pPr>
          </w:p>
        </w:tc>
        <w:tc>
          <w:tcPr>
            <w:tcW w:w="668" w:type="dxa"/>
          </w:tcPr>
          <w:p w:rsidR="005D73B5" w:rsidRDefault="005D73B5">
            <w:pPr>
              <w:rPr>
                <w:rFonts w:ascii="仿宋_GB2312" w:hAnsi="仿宋_GB2312"/>
                <w:color w:val="000000"/>
                <w:sz w:val="21"/>
                <w:szCs w:val="21"/>
              </w:rPr>
            </w:pPr>
          </w:p>
        </w:tc>
        <w:tc>
          <w:tcPr>
            <w:tcW w:w="792" w:type="dxa"/>
            <w:vMerge/>
          </w:tcPr>
          <w:p w:rsidR="005D73B5" w:rsidRDefault="005D73B5">
            <w:pPr>
              <w:rPr>
                <w:rFonts w:ascii="仿宋_GB2312" w:hAnsi="仿宋_GB2312"/>
                <w:color w:val="000000"/>
                <w:sz w:val="21"/>
                <w:szCs w:val="21"/>
              </w:rPr>
            </w:pPr>
          </w:p>
        </w:tc>
      </w:tr>
      <w:tr w:rsidR="005D73B5">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0" w:type="auto"/>
            <w:vMerge/>
          </w:tcPr>
          <w:p w:rsidR="005D73B5" w:rsidRDefault="005D73B5">
            <w:pPr>
              <w:rPr>
                <w:rFonts w:ascii="仿宋_GB2312" w:hAnsi="仿宋_GB2312"/>
                <w:color w:val="000000"/>
                <w:sz w:val="21"/>
                <w:szCs w:val="21"/>
              </w:rPr>
            </w:pPr>
          </w:p>
        </w:tc>
        <w:tc>
          <w:tcPr>
            <w:tcW w:w="928" w:type="dxa"/>
          </w:tcPr>
          <w:p w:rsidR="005D73B5" w:rsidRDefault="002714B2">
            <w:pPr>
              <w:rPr>
                <w:rFonts w:ascii="仿宋_GB2312" w:hAnsi="仿宋_GB2312"/>
                <w:color w:val="000000"/>
                <w:sz w:val="21"/>
                <w:szCs w:val="21"/>
              </w:rPr>
            </w:pPr>
            <w:r>
              <w:rPr>
                <w:rFonts w:ascii="仿宋_GB2312" w:hAnsi="仿宋_GB2312" w:hint="eastAsia"/>
                <w:color w:val="000000"/>
                <w:sz w:val="21"/>
                <w:szCs w:val="21"/>
              </w:rPr>
              <w:t>……</w:t>
            </w:r>
          </w:p>
        </w:tc>
        <w:tc>
          <w:tcPr>
            <w:tcW w:w="1257" w:type="dxa"/>
          </w:tcPr>
          <w:p w:rsidR="005D73B5" w:rsidRDefault="005D73B5">
            <w:pPr>
              <w:rPr>
                <w:rFonts w:ascii="仿宋_GB2312" w:hAnsi="仿宋_GB2312"/>
                <w:color w:val="000000"/>
                <w:sz w:val="21"/>
                <w:szCs w:val="21"/>
              </w:rPr>
            </w:pPr>
          </w:p>
        </w:tc>
        <w:tc>
          <w:tcPr>
            <w:tcW w:w="0" w:type="auto"/>
          </w:tcPr>
          <w:p w:rsidR="005D73B5" w:rsidRDefault="005D73B5">
            <w:pPr>
              <w:rPr>
                <w:rFonts w:ascii="仿宋_GB2312" w:hAnsi="仿宋_GB2312"/>
                <w:color w:val="000000"/>
                <w:sz w:val="21"/>
                <w:szCs w:val="21"/>
              </w:rPr>
            </w:pPr>
          </w:p>
        </w:tc>
        <w:tc>
          <w:tcPr>
            <w:tcW w:w="0" w:type="auto"/>
          </w:tcPr>
          <w:p w:rsidR="005D73B5" w:rsidRDefault="005D73B5">
            <w:pPr>
              <w:rPr>
                <w:rFonts w:ascii="仿宋_GB2312" w:hAnsi="仿宋_GB2312"/>
                <w:color w:val="000000"/>
                <w:sz w:val="21"/>
                <w:szCs w:val="21"/>
              </w:rPr>
            </w:pPr>
          </w:p>
        </w:tc>
        <w:tc>
          <w:tcPr>
            <w:tcW w:w="668" w:type="dxa"/>
          </w:tcPr>
          <w:p w:rsidR="005D73B5" w:rsidRDefault="005D73B5">
            <w:pPr>
              <w:rPr>
                <w:rFonts w:ascii="仿宋_GB2312" w:hAnsi="仿宋_GB2312"/>
                <w:color w:val="000000"/>
                <w:sz w:val="21"/>
                <w:szCs w:val="21"/>
              </w:rPr>
            </w:pPr>
          </w:p>
        </w:tc>
        <w:tc>
          <w:tcPr>
            <w:tcW w:w="792" w:type="dxa"/>
            <w:vMerge/>
          </w:tcPr>
          <w:p w:rsidR="005D73B5" w:rsidRDefault="005D73B5">
            <w:pPr>
              <w:rPr>
                <w:rFonts w:ascii="仿宋_GB2312" w:hAnsi="仿宋_GB2312"/>
                <w:color w:val="000000"/>
                <w:sz w:val="21"/>
                <w:szCs w:val="21"/>
              </w:rPr>
            </w:pPr>
          </w:p>
        </w:tc>
      </w:tr>
    </w:tbl>
    <w:p w:rsidR="005D73B5" w:rsidRDefault="005D73B5">
      <w:pPr>
        <w:ind w:right="824"/>
        <w:rPr>
          <w:rFonts w:ascii="仿宋_GB2312" w:hAnsi="仿宋_GB2312"/>
          <w:color w:val="000000"/>
          <w:sz w:val="24"/>
          <w:szCs w:val="24"/>
        </w:rPr>
      </w:pPr>
    </w:p>
    <w:p w:rsidR="005D73B5" w:rsidRDefault="002714B2" w:rsidP="00506B6D">
      <w:pPr>
        <w:ind w:right="824" w:firstLineChars="3600" w:firstLine="8491"/>
        <w:rPr>
          <w:rFonts w:ascii="仿宋_GB2312" w:hAnsi="仿宋_GB2312"/>
          <w:color w:val="000000"/>
          <w:sz w:val="24"/>
          <w:szCs w:val="24"/>
        </w:rPr>
      </w:pPr>
      <w:r>
        <w:rPr>
          <w:rFonts w:ascii="仿宋_GB2312" w:hAnsi="仿宋_GB2312" w:hint="eastAsia"/>
          <w:color w:val="000000"/>
          <w:sz w:val="24"/>
          <w:szCs w:val="24"/>
        </w:rPr>
        <w:t xml:space="preserve"> 船长签字:                            日期:</w:t>
      </w:r>
    </w:p>
    <w:p w:rsidR="005D73B5" w:rsidRDefault="005D73B5">
      <w:pPr>
        <w:rPr>
          <w:rFonts w:ascii="仿宋_GB2312" w:hAnsi="仿宋_GB2312"/>
          <w:color w:val="000000"/>
          <w:sz w:val="21"/>
          <w:szCs w:val="21"/>
        </w:rPr>
      </w:pPr>
    </w:p>
    <w:p w:rsidR="005D73B5" w:rsidRDefault="002714B2">
      <w:pPr>
        <w:rPr>
          <w:rFonts w:ascii="仿宋_GB2312" w:hAnsi="仿宋_GB2312"/>
          <w:color w:val="000000"/>
          <w:sz w:val="21"/>
          <w:szCs w:val="21"/>
        </w:rPr>
      </w:pPr>
      <w:r>
        <w:rPr>
          <w:rFonts w:ascii="仿宋_GB2312" w:hAnsi="仿宋_GB2312" w:hint="eastAsia"/>
          <w:color w:val="000000"/>
          <w:sz w:val="21"/>
          <w:szCs w:val="21"/>
        </w:rPr>
        <w:t>填表说明：1、燃料消耗，当船舶使用燃料多于两种时，可以自行增加燃料消耗种类，如种类3、种类4等以适用本船。2、岸电使用时长系指船舶靠泊期间使用岸电的时长；消耗电量系指船舶靠泊期间所消耗的岸电量。3、航段为每日实际航次编号。4、航行距离系指船舶以运输或相关作业为目的，依靠自有动力相对于陆地的实际航行距离，国内航行海船以海里计，内河船舶以公里计。5、航行时间系指船舶以运输或相关作业为目的，依靠自有动力航行的时间。6、营运时间系指船舶技术状况完好可以从事运输及相关作业的时间，包括航行时间、停泊时间及其他作业时间；船舶带货修理等仍然从事运输及相关作业的情形应计入营运时间。7、客货量填写参照以下方法收集：（1）对于散货船、气体运输船、液货船、杂货船、冷藏船、兼用船、滚装货船（车辆运输船）和滚装货船，为所载货物总质量，单位为吨（t）；（2）对于集装箱船，为所载运集装箱标准箱数量（TEU）；（3）对于混装集装箱及其它货物的船舶，为所载运集装箱质量与其他货物质量的总和，单位为吨（t）。（4）对于客船（包括客滚船），为实际乘客数量（人），实际乘客数量难以统计时以额定载客人数代替；（5）在无法获得</w:t>
      </w:r>
      <w:proofErr w:type="gramStart"/>
      <w:r>
        <w:rPr>
          <w:rFonts w:ascii="仿宋_GB2312" w:hAnsi="仿宋_GB2312" w:hint="eastAsia"/>
          <w:color w:val="000000"/>
          <w:sz w:val="21"/>
          <w:szCs w:val="21"/>
        </w:rPr>
        <w:t>箱货实际</w:t>
      </w:r>
      <w:proofErr w:type="gramEnd"/>
      <w:r>
        <w:rPr>
          <w:rFonts w:ascii="仿宋_GB2312" w:hAnsi="仿宋_GB2312" w:hint="eastAsia"/>
          <w:color w:val="000000"/>
          <w:sz w:val="21"/>
          <w:szCs w:val="21"/>
        </w:rPr>
        <w:t>质量的情况下，一个重载标准箱（TEU）可按 10t 折算， 一个空载 TEU 可按 2t 折算。</w:t>
      </w:r>
    </w:p>
    <w:sectPr w:rsidR="005D73B5">
      <w:pgSz w:w="16838" w:h="11906" w:orient="landscape"/>
      <w:pgMar w:top="720" w:right="720" w:bottom="720" w:left="720" w:header="851" w:footer="1616"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3D" w:rsidRDefault="002714B2">
      <w:r>
        <w:separator/>
      </w:r>
    </w:p>
  </w:endnote>
  <w:endnote w:type="continuationSeparator" w:id="0">
    <w:p w:rsidR="00EB383D" w:rsidRDefault="0027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3B5" w:rsidRDefault="002714B2">
    <w:pPr>
      <w:pStyle w:val="a4"/>
      <w:framePr w:wrap="around" w:vAnchor="text" w:hAnchor="margin" w:xAlign="outside" w:yAlign="top"/>
      <w:rPr>
        <w:rFonts w:ascii="宋体" w:eastAsia="宋体" w:hAnsi="宋体"/>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sidR="001238AD">
      <w:rPr>
        <w:rStyle w:val="a7"/>
        <w:rFonts w:ascii="宋体" w:eastAsia="宋体" w:hAnsi="宋体"/>
        <w:noProof/>
        <w:sz w:val="28"/>
      </w:rPr>
      <w:t>8</w:t>
    </w:r>
    <w:r>
      <w:rPr>
        <w:rFonts w:ascii="宋体" w:eastAsia="宋体" w:hAnsi="宋体" w:hint="eastAsia"/>
        <w:sz w:val="28"/>
      </w:rPr>
      <w:fldChar w:fldCharType="end"/>
    </w:r>
    <w:r>
      <w:rPr>
        <w:rStyle w:val="a7"/>
        <w:rFonts w:ascii="宋体" w:eastAsia="宋体" w:hAnsi="宋体" w:hint="eastAsia"/>
        <w:sz w:val="28"/>
      </w:rPr>
      <w:t xml:space="preserve"> —</w:t>
    </w:r>
  </w:p>
  <w:p w:rsidR="005D73B5" w:rsidRDefault="005D73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3D" w:rsidRDefault="002714B2">
      <w:r>
        <w:separator/>
      </w:r>
    </w:p>
  </w:footnote>
  <w:footnote w:type="continuationSeparator" w:id="0">
    <w:p w:rsidR="00EB383D" w:rsidRDefault="0027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ocumentProtection w:edit="forms" w:enforcement="0"/>
  <w:defaultTabStop w:val="420"/>
  <w:evenAndOddHeaders/>
  <w:drawingGridHorizontalSpacing w:val="158"/>
  <w:drawingGridVerticalSpacing w:val="579"/>
  <w:displayHorizont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MGE5NzJhZTE0MWI1MDliN2YwMDdiMmFjMGU3YzgifQ=="/>
  </w:docVars>
  <w:rsids>
    <w:rsidRoot w:val="00DF66AC"/>
    <w:rsid w:val="00006A5B"/>
    <w:rsid w:val="001238AD"/>
    <w:rsid w:val="002714B2"/>
    <w:rsid w:val="003C697E"/>
    <w:rsid w:val="00471A1E"/>
    <w:rsid w:val="00506B6D"/>
    <w:rsid w:val="005D73B5"/>
    <w:rsid w:val="00636AF3"/>
    <w:rsid w:val="00725057"/>
    <w:rsid w:val="00881AA1"/>
    <w:rsid w:val="009113EF"/>
    <w:rsid w:val="00A87BF2"/>
    <w:rsid w:val="00C142BC"/>
    <w:rsid w:val="00D046EF"/>
    <w:rsid w:val="00DF66AC"/>
    <w:rsid w:val="00E60FC2"/>
    <w:rsid w:val="00EB383D"/>
    <w:rsid w:val="09A202BA"/>
    <w:rsid w:val="0F5F2145"/>
    <w:rsid w:val="0FCB3477"/>
    <w:rsid w:val="33C33F1F"/>
    <w:rsid w:val="39CB4271"/>
    <w:rsid w:val="3BCD5B5C"/>
    <w:rsid w:val="47F250D2"/>
    <w:rsid w:val="486D54AC"/>
    <w:rsid w:val="4E077F6D"/>
    <w:rsid w:val="6BFF73E2"/>
    <w:rsid w:val="7FA21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jc w:val="both"/>
    </w:pPr>
    <w:rPr>
      <w:rFonts w:eastAsia="仿宋_GB2312" w:cs="Times New Roman"/>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jc w:val="left"/>
    </w:pPr>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kern w:val="2"/>
      <w:sz w:val="18"/>
      <w:szCs w:val="18"/>
    </w:rPr>
  </w:style>
  <w:style w:type="table" w:styleId="a6">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semiHidden/>
    <w:unhideWhenUsed/>
    <w:qFormat/>
  </w:style>
  <w:style w:type="paragraph" w:customStyle="1" w:styleId="msonormal0">
    <w:name w:val="msonormal"/>
    <w:basedOn w:val="a"/>
    <w:qFormat/>
    <w:pPr>
      <w:widowControl/>
      <w:snapToGrid/>
      <w:spacing w:before="100" w:beforeAutospacing="1" w:after="100" w:afterAutospacing="1"/>
      <w:jc w:val="left"/>
    </w:pPr>
    <w:rPr>
      <w:rFonts w:ascii="宋体" w:eastAsia="宋体" w:hAnsi="宋体" w:cs="宋体"/>
      <w:sz w:val="24"/>
      <w:szCs w:val="24"/>
    </w:rPr>
  </w:style>
  <w:style w:type="character" w:customStyle="1" w:styleId="Char1">
    <w:name w:val="页眉 Char"/>
    <w:link w:val="a5"/>
    <w:uiPriority w:val="99"/>
    <w:locked/>
    <w:rPr>
      <w:kern w:val="2"/>
      <w:sz w:val="18"/>
      <w:szCs w:val="18"/>
    </w:rPr>
  </w:style>
  <w:style w:type="character" w:customStyle="1" w:styleId="Char0">
    <w:name w:val="页脚 Char"/>
    <w:link w:val="a4"/>
    <w:uiPriority w:val="99"/>
    <w:locked/>
    <w:rPr>
      <w:kern w:val="2"/>
      <w:sz w:val="18"/>
      <w:szCs w:val="18"/>
    </w:rPr>
  </w:style>
  <w:style w:type="character" w:customStyle="1" w:styleId="Char">
    <w:name w:val="日期 Char"/>
    <w:basedOn w:val="a0"/>
    <w:link w:val="a3"/>
    <w:uiPriority w:val="99"/>
    <w:semiHidden/>
    <w:locked/>
  </w:style>
  <w:style w:type="paragraph" w:customStyle="1" w:styleId="1">
    <w:name w:val="修订1"/>
    <w:hidden/>
    <w:uiPriority w:val="99"/>
    <w:semiHidden/>
    <w:rPr>
      <w:rFonts w:eastAsia="仿宋_GB2312" w:cs="Times New Roman"/>
      <w:sz w:val="32"/>
      <w:szCs w:val="22"/>
    </w:rPr>
  </w:style>
  <w:style w:type="paragraph" w:styleId="a8">
    <w:name w:val="Balloon Text"/>
    <w:basedOn w:val="a"/>
    <w:link w:val="Char2"/>
    <w:uiPriority w:val="99"/>
    <w:semiHidden/>
    <w:unhideWhenUsed/>
    <w:rsid w:val="00506B6D"/>
    <w:rPr>
      <w:sz w:val="18"/>
      <w:szCs w:val="18"/>
    </w:rPr>
  </w:style>
  <w:style w:type="character" w:customStyle="1" w:styleId="Char2">
    <w:name w:val="批注框文本 Char"/>
    <w:basedOn w:val="a0"/>
    <w:link w:val="a8"/>
    <w:uiPriority w:val="99"/>
    <w:semiHidden/>
    <w:rsid w:val="00506B6D"/>
    <w:rPr>
      <w:rFonts w:eastAsia="仿宋_GB2312"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jc w:val="both"/>
    </w:pPr>
    <w:rPr>
      <w:rFonts w:eastAsia="仿宋_GB2312" w:cs="Times New Roman"/>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jc w:val="left"/>
    </w:pPr>
    <w:rPr>
      <w:kern w:val="2"/>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kern w:val="2"/>
      <w:sz w:val="18"/>
      <w:szCs w:val="18"/>
    </w:rPr>
  </w:style>
  <w:style w:type="table" w:styleId="a6">
    <w:name w:val="Table Grid"/>
    <w:basedOn w:val="a1"/>
    <w:qFormat/>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semiHidden/>
    <w:unhideWhenUsed/>
    <w:qFormat/>
  </w:style>
  <w:style w:type="paragraph" w:customStyle="1" w:styleId="msonormal0">
    <w:name w:val="msonormal"/>
    <w:basedOn w:val="a"/>
    <w:qFormat/>
    <w:pPr>
      <w:widowControl/>
      <w:snapToGrid/>
      <w:spacing w:before="100" w:beforeAutospacing="1" w:after="100" w:afterAutospacing="1"/>
      <w:jc w:val="left"/>
    </w:pPr>
    <w:rPr>
      <w:rFonts w:ascii="宋体" w:eastAsia="宋体" w:hAnsi="宋体" w:cs="宋体"/>
      <w:sz w:val="24"/>
      <w:szCs w:val="24"/>
    </w:rPr>
  </w:style>
  <w:style w:type="character" w:customStyle="1" w:styleId="Char1">
    <w:name w:val="页眉 Char"/>
    <w:link w:val="a5"/>
    <w:uiPriority w:val="99"/>
    <w:locked/>
    <w:rPr>
      <w:kern w:val="2"/>
      <w:sz w:val="18"/>
      <w:szCs w:val="18"/>
    </w:rPr>
  </w:style>
  <w:style w:type="character" w:customStyle="1" w:styleId="Char0">
    <w:name w:val="页脚 Char"/>
    <w:link w:val="a4"/>
    <w:uiPriority w:val="99"/>
    <w:locked/>
    <w:rPr>
      <w:kern w:val="2"/>
      <w:sz w:val="18"/>
      <w:szCs w:val="18"/>
    </w:rPr>
  </w:style>
  <w:style w:type="character" w:customStyle="1" w:styleId="Char">
    <w:name w:val="日期 Char"/>
    <w:basedOn w:val="a0"/>
    <w:link w:val="a3"/>
    <w:uiPriority w:val="99"/>
    <w:semiHidden/>
    <w:locked/>
  </w:style>
  <w:style w:type="paragraph" w:customStyle="1" w:styleId="1">
    <w:name w:val="修订1"/>
    <w:hidden/>
    <w:uiPriority w:val="99"/>
    <w:semiHidden/>
    <w:rPr>
      <w:rFonts w:eastAsia="仿宋_GB2312" w:cs="Times New Roman"/>
      <w:sz w:val="32"/>
      <w:szCs w:val="22"/>
    </w:rPr>
  </w:style>
  <w:style w:type="paragraph" w:styleId="a8">
    <w:name w:val="Balloon Text"/>
    <w:basedOn w:val="a"/>
    <w:link w:val="Char2"/>
    <w:uiPriority w:val="99"/>
    <w:semiHidden/>
    <w:unhideWhenUsed/>
    <w:rsid w:val="00506B6D"/>
    <w:rPr>
      <w:sz w:val="18"/>
      <w:szCs w:val="18"/>
    </w:rPr>
  </w:style>
  <w:style w:type="character" w:customStyle="1" w:styleId="Char2">
    <w:name w:val="批注框文本 Char"/>
    <w:basedOn w:val="a0"/>
    <w:link w:val="a8"/>
    <w:uiPriority w:val="99"/>
    <w:semiHidden/>
    <w:rsid w:val="00506B6D"/>
    <w:rPr>
      <w:rFonts w:eastAsia="仿宋_GB2312"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C456-9374-425A-8CEF-0E758A87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4950</Words>
  <Characters>755</Characters>
  <Application>Microsoft Office Word</Application>
  <DocSecurity>0</DocSecurity>
  <Lines>6</Lines>
  <Paragraphs>11</Paragraphs>
  <ScaleCrop>false</ScaleCrop>
  <Company>china</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中华人民共和国海事局文件</dc:title>
  <dc:subject>在 4540 中的 WPS文档</dc:subject>
  <dc:creator>庞雨葳</dc:creator>
  <cp:lastModifiedBy>局机关单位管理员</cp:lastModifiedBy>
  <cp:revision>11</cp:revision>
  <cp:lastPrinted>2013-03-14T01:29:00Z</cp:lastPrinted>
  <dcterms:created xsi:type="dcterms:W3CDTF">2022-05-11T14:34:00Z</dcterms:created>
  <dcterms:modified xsi:type="dcterms:W3CDTF">2022-05-12T08:38:00Z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aztFileName">
    <vt:lpwstr>AZT20220511183847400165</vt:lpwstr>
  </property>
  <property fmtid="{D5CDD505-2E9C-101B-9397-08002B2CF9AE}" pid="4" name="ICV">
    <vt:lpwstr>B926DC9C2AD148938FF91EF17D549B42</vt:lpwstr>
  </property>
</Properties>
</file>